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69360" w14:textId="3495208B" w:rsidR="00F76526" w:rsidRPr="007028FC" w:rsidRDefault="002C4D48" w:rsidP="002C4D48">
      <w:pPr>
        <w:pBdr>
          <w:bottom w:val="single" w:sz="4" w:space="1" w:color="auto"/>
        </w:pBdr>
        <w:spacing w:after="0" w:line="240" w:lineRule="auto"/>
        <w:jc w:val="center"/>
        <w:rPr>
          <w:b/>
          <w:color w:val="660033"/>
          <w:sz w:val="36"/>
          <w:lang w:val="en-US"/>
        </w:rPr>
      </w:pPr>
      <w:r>
        <w:rPr>
          <w:b/>
          <w:color w:val="660033"/>
          <w:sz w:val="36"/>
          <w:lang w:val="en-US"/>
        </w:rPr>
        <w:t xml:space="preserve">M2 </w:t>
      </w:r>
      <w:r w:rsidR="008B60C8" w:rsidRPr="007028FC">
        <w:rPr>
          <w:b/>
          <w:color w:val="660033"/>
          <w:sz w:val="36"/>
          <w:lang w:val="en-US"/>
        </w:rPr>
        <w:t>Internship proposal</w:t>
      </w:r>
      <w:r w:rsidR="001600FC">
        <w:rPr>
          <w:b/>
          <w:color w:val="660033"/>
          <w:sz w:val="36"/>
          <w:lang w:val="en-US"/>
        </w:rPr>
        <w:t xml:space="preserve"> </w:t>
      </w:r>
      <w:r w:rsidR="008B60C8" w:rsidRPr="007028FC">
        <w:rPr>
          <w:b/>
          <w:color w:val="660033"/>
          <w:sz w:val="36"/>
          <w:lang w:val="en-US"/>
        </w:rPr>
        <w:t>202</w:t>
      </w:r>
      <w:r w:rsidR="001573E2">
        <w:rPr>
          <w:b/>
          <w:color w:val="660033"/>
          <w:sz w:val="36"/>
          <w:lang w:val="en-US"/>
        </w:rPr>
        <w:t>3</w:t>
      </w:r>
      <w:r w:rsidR="008B60C8" w:rsidRPr="007028FC">
        <w:rPr>
          <w:b/>
          <w:color w:val="660033"/>
          <w:sz w:val="36"/>
          <w:lang w:val="en-US"/>
        </w:rPr>
        <w:t xml:space="preserve"> - 202</w:t>
      </w:r>
      <w:r w:rsidR="001573E2">
        <w:rPr>
          <w:b/>
          <w:color w:val="660033"/>
          <w:sz w:val="36"/>
          <w:lang w:val="en-US"/>
        </w:rPr>
        <w:t>4</w:t>
      </w:r>
    </w:p>
    <w:p w14:paraId="68F0A2D0" w14:textId="77777777" w:rsidR="00883277" w:rsidRPr="007028FC" w:rsidRDefault="00883277" w:rsidP="0023280C">
      <w:pPr>
        <w:pBdr>
          <w:bottom w:val="single" w:sz="4" w:space="1" w:color="auto"/>
        </w:pBdr>
        <w:spacing w:after="0" w:line="240" w:lineRule="auto"/>
        <w:ind w:firstLine="4253"/>
        <w:rPr>
          <w:b/>
          <w:color w:val="660033"/>
          <w:sz w:val="36"/>
          <w:lang w:val="en-US"/>
        </w:rPr>
      </w:pPr>
    </w:p>
    <w:p w14:paraId="72A2F6B4" w14:textId="77777777" w:rsidR="00F76526" w:rsidRPr="00E47B5B" w:rsidRDefault="007028FC" w:rsidP="00E47B5B">
      <w:pPr>
        <w:shd w:val="clear" w:color="auto" w:fill="DEEAF6" w:themeFill="accent1" w:themeFillTint="33"/>
        <w:spacing w:after="0" w:line="240" w:lineRule="auto"/>
        <w:jc w:val="center"/>
        <w:rPr>
          <w:b/>
          <w:smallCaps/>
          <w:color w:val="002060"/>
          <w:lang w:val="en-US"/>
        </w:rPr>
      </w:pPr>
      <w:r w:rsidRPr="00E47B5B">
        <w:rPr>
          <w:b/>
          <w:smallCaps/>
          <w:color w:val="002060"/>
          <w:lang w:val="en-US"/>
        </w:rPr>
        <w:t>Team</w:t>
      </w:r>
    </w:p>
    <w:p w14:paraId="49815F9E" w14:textId="34F65DDD" w:rsidR="007028FC" w:rsidRPr="001600FC" w:rsidRDefault="00E47B5B" w:rsidP="0023280C">
      <w:pPr>
        <w:spacing w:after="0" w:line="240" w:lineRule="auto"/>
        <w:rPr>
          <w:color w:val="002060"/>
          <w:lang w:val="en-US"/>
        </w:rPr>
      </w:pPr>
      <w:r w:rsidRPr="001600FC">
        <w:rPr>
          <w:color w:val="002060"/>
          <w:lang w:val="en-US"/>
        </w:rPr>
        <w:t>T</w:t>
      </w:r>
      <w:r w:rsidR="007028FC" w:rsidRPr="001600FC">
        <w:rPr>
          <w:color w:val="002060"/>
          <w:lang w:val="en-US"/>
        </w:rPr>
        <w:t>eam:</w:t>
      </w:r>
      <w:r w:rsidR="001573E2" w:rsidRPr="001600FC">
        <w:rPr>
          <w:color w:val="002060"/>
          <w:lang w:val="en-US"/>
        </w:rPr>
        <w:t xml:space="preserve"> </w:t>
      </w:r>
      <w:r w:rsidR="00EF3046" w:rsidRPr="001600FC">
        <w:rPr>
          <w:color w:val="002060"/>
          <w:lang w:val="en-US"/>
        </w:rPr>
        <w:t>Plant-Bacteria Interactions</w:t>
      </w:r>
      <w:r w:rsidR="000A5A26" w:rsidRPr="001600FC">
        <w:rPr>
          <w:color w:val="002060"/>
          <w:lang w:val="en-US"/>
        </w:rPr>
        <w:t xml:space="preserve"> </w:t>
      </w:r>
    </w:p>
    <w:p w14:paraId="412AA00A" w14:textId="74F7A54E" w:rsidR="000A5A26" w:rsidRPr="00E47B5B" w:rsidRDefault="000A5A26" w:rsidP="0023280C">
      <w:pPr>
        <w:spacing w:after="0" w:line="240" w:lineRule="auto"/>
        <w:rPr>
          <w:color w:val="002060"/>
          <w:lang w:val="en-US"/>
        </w:rPr>
      </w:pPr>
      <w:r w:rsidRPr="001600FC">
        <w:rPr>
          <w:color w:val="002060"/>
          <w:lang w:val="en-US"/>
        </w:rPr>
        <w:t xml:space="preserve">Team website: </w:t>
      </w:r>
      <w:r w:rsidR="00EF3046" w:rsidRPr="001600FC">
        <w:rPr>
          <w:color w:val="002060"/>
          <w:lang w:val="en-US"/>
        </w:rPr>
        <w:t>https</w:t>
      </w:r>
      <w:r w:rsidR="00EF3046" w:rsidRPr="00EF3046">
        <w:rPr>
          <w:color w:val="002060"/>
          <w:lang w:val="en-US"/>
        </w:rPr>
        <w:t>://www.i2bc.paris-saclay.fr/equipe-plant-bacteria-interactions/</w:t>
      </w:r>
    </w:p>
    <w:p w14:paraId="033E1050" w14:textId="4A88A3B3" w:rsidR="007028FC" w:rsidRPr="00E47B5B" w:rsidRDefault="00443176" w:rsidP="007028FC">
      <w:pPr>
        <w:spacing w:after="0" w:line="240" w:lineRule="auto"/>
        <w:rPr>
          <w:color w:val="002060"/>
          <w:lang w:val="en-US"/>
        </w:rPr>
      </w:pPr>
      <w:r>
        <w:rPr>
          <w:color w:val="002060"/>
          <w:lang w:val="en-US"/>
        </w:rPr>
        <w:t>Head</w:t>
      </w:r>
      <w:r w:rsidR="007028FC" w:rsidRPr="00E47B5B">
        <w:rPr>
          <w:color w:val="002060"/>
          <w:lang w:val="en-US"/>
        </w:rPr>
        <w:t xml:space="preserve"> of the team:</w:t>
      </w:r>
      <w:r w:rsidR="001573E2">
        <w:rPr>
          <w:color w:val="002060"/>
          <w:lang w:val="en-US"/>
        </w:rPr>
        <w:t xml:space="preserve"> </w:t>
      </w:r>
      <w:r w:rsidR="00EF3046">
        <w:rPr>
          <w:color w:val="002060"/>
          <w:lang w:val="en-US"/>
        </w:rPr>
        <w:t xml:space="preserve">Peter </w:t>
      </w:r>
      <w:proofErr w:type="spellStart"/>
      <w:r w:rsidR="00EF3046">
        <w:rPr>
          <w:color w:val="002060"/>
          <w:lang w:val="en-US"/>
        </w:rPr>
        <w:t>Mergaert</w:t>
      </w:r>
      <w:proofErr w:type="spellEnd"/>
      <w:r w:rsidR="00EF3046">
        <w:rPr>
          <w:color w:val="002060"/>
          <w:lang w:val="en-US"/>
        </w:rPr>
        <w:t xml:space="preserve"> &amp; Denis Faure</w:t>
      </w:r>
    </w:p>
    <w:p w14:paraId="7F046D5A" w14:textId="3718278D" w:rsidR="007028FC" w:rsidRPr="00EF3046" w:rsidRDefault="007028FC" w:rsidP="007028FC">
      <w:pPr>
        <w:spacing w:after="0" w:line="240" w:lineRule="auto"/>
        <w:rPr>
          <w:color w:val="002060"/>
        </w:rPr>
      </w:pPr>
      <w:proofErr w:type="spellStart"/>
      <w:r w:rsidRPr="00EF3046">
        <w:rPr>
          <w:color w:val="002060"/>
        </w:rPr>
        <w:t>Address</w:t>
      </w:r>
      <w:proofErr w:type="spellEnd"/>
      <w:r w:rsidRPr="00EF3046">
        <w:rPr>
          <w:color w:val="002060"/>
        </w:rPr>
        <w:t>:</w:t>
      </w:r>
      <w:r w:rsidR="001573E2" w:rsidRPr="00EF3046">
        <w:rPr>
          <w:color w:val="002060"/>
        </w:rPr>
        <w:t xml:space="preserve"> 1 avenue de la Terrasse, 91190 Gif-sur-Yvette</w:t>
      </w:r>
    </w:p>
    <w:p w14:paraId="67E420EA" w14:textId="5D576B6D" w:rsidR="00F76526" w:rsidRPr="00E47B5B" w:rsidRDefault="00443176" w:rsidP="0023280C">
      <w:pPr>
        <w:spacing w:after="0" w:line="240" w:lineRule="auto"/>
        <w:rPr>
          <w:color w:val="002060"/>
          <w:lang w:val="en-US"/>
        </w:rPr>
      </w:pPr>
      <w:r>
        <w:rPr>
          <w:color w:val="002060"/>
          <w:lang w:val="en-US"/>
        </w:rPr>
        <w:t>Supervisor</w:t>
      </w:r>
      <w:r w:rsidR="007028FC" w:rsidRPr="00E47B5B">
        <w:rPr>
          <w:color w:val="002060"/>
          <w:lang w:val="en-US"/>
        </w:rPr>
        <w:t xml:space="preserve"> of the internship</w:t>
      </w:r>
      <w:r w:rsidR="00F76526" w:rsidRPr="00E47B5B">
        <w:rPr>
          <w:color w:val="002060"/>
          <w:lang w:val="en-US"/>
        </w:rPr>
        <w:t xml:space="preserve">: </w:t>
      </w:r>
      <w:r w:rsidR="00EF3046">
        <w:rPr>
          <w:color w:val="002060"/>
          <w:lang w:val="en-US"/>
        </w:rPr>
        <w:t xml:space="preserve">Peter </w:t>
      </w:r>
      <w:proofErr w:type="spellStart"/>
      <w:r w:rsidR="00EF3046">
        <w:rPr>
          <w:color w:val="002060"/>
          <w:lang w:val="en-US"/>
        </w:rPr>
        <w:t>Mergaert</w:t>
      </w:r>
      <w:proofErr w:type="spellEnd"/>
    </w:p>
    <w:p w14:paraId="35CF8E4B" w14:textId="134395F9" w:rsidR="007028FC" w:rsidRPr="00E47B5B" w:rsidRDefault="007028FC" w:rsidP="007028FC">
      <w:pPr>
        <w:spacing w:after="0" w:line="240" w:lineRule="auto"/>
        <w:rPr>
          <w:color w:val="002060"/>
          <w:lang w:val="en-US"/>
        </w:rPr>
      </w:pPr>
      <w:r w:rsidRPr="00E47B5B">
        <w:rPr>
          <w:color w:val="002060"/>
          <w:lang w:val="en-US"/>
        </w:rPr>
        <w:t>Tel:</w:t>
      </w:r>
      <w:r w:rsidR="00EF3046">
        <w:rPr>
          <w:color w:val="002060"/>
          <w:lang w:val="en-US"/>
        </w:rPr>
        <w:t xml:space="preserve"> 01 69 82 34 99</w:t>
      </w:r>
    </w:p>
    <w:p w14:paraId="7692B28D" w14:textId="4BE6E2E1" w:rsidR="007028FC" w:rsidRPr="00E47B5B" w:rsidRDefault="007028FC" w:rsidP="007028FC">
      <w:pPr>
        <w:spacing w:after="0" w:line="240" w:lineRule="auto"/>
        <w:rPr>
          <w:color w:val="002060"/>
          <w:lang w:val="en-US"/>
        </w:rPr>
      </w:pPr>
      <w:r w:rsidRPr="00E47B5B">
        <w:rPr>
          <w:color w:val="002060"/>
          <w:lang w:val="en-US"/>
        </w:rPr>
        <w:t>@:</w:t>
      </w:r>
      <w:r w:rsidR="00EF3046">
        <w:rPr>
          <w:color w:val="002060"/>
          <w:lang w:val="en-US"/>
        </w:rPr>
        <w:t>peter.mergaert</w:t>
      </w:r>
      <w:r w:rsidR="001573E2">
        <w:rPr>
          <w:color w:val="002060"/>
          <w:lang w:val="en-US"/>
        </w:rPr>
        <w:t>@</w:t>
      </w:r>
      <w:r w:rsidR="00D44805">
        <w:rPr>
          <w:color w:val="002060"/>
          <w:lang w:val="en-US"/>
        </w:rPr>
        <w:t>i2bc.paris-saclay</w:t>
      </w:r>
      <w:r w:rsidR="001573E2">
        <w:rPr>
          <w:color w:val="002060"/>
          <w:lang w:val="en-US"/>
        </w:rPr>
        <w:t>.fr</w:t>
      </w:r>
    </w:p>
    <w:p w14:paraId="602B8BC7" w14:textId="77777777" w:rsidR="00F76526" w:rsidRPr="00B20201" w:rsidRDefault="00F76526" w:rsidP="0023280C">
      <w:pPr>
        <w:pBdr>
          <w:bottom w:val="single" w:sz="4" w:space="1" w:color="auto"/>
        </w:pBdr>
        <w:spacing w:after="0" w:line="240" w:lineRule="auto"/>
        <w:rPr>
          <w:color w:val="002060"/>
          <w:lang w:val="en-US"/>
        </w:rPr>
      </w:pPr>
    </w:p>
    <w:p w14:paraId="019E2B5C" w14:textId="77777777" w:rsidR="007028FC" w:rsidRPr="00E47B5B" w:rsidRDefault="007028FC" w:rsidP="00E47B5B">
      <w:pPr>
        <w:shd w:val="clear" w:color="auto" w:fill="DEEAF6" w:themeFill="accent1" w:themeFillTint="33"/>
        <w:spacing w:after="0" w:line="240" w:lineRule="auto"/>
        <w:jc w:val="center"/>
        <w:rPr>
          <w:b/>
          <w:smallCaps/>
          <w:color w:val="002060"/>
          <w:lang w:val="en-US"/>
        </w:rPr>
      </w:pPr>
      <w:r w:rsidRPr="00E47B5B">
        <w:rPr>
          <w:b/>
          <w:smallCaps/>
          <w:color w:val="002060"/>
          <w:lang w:val="en-US"/>
        </w:rPr>
        <w:t>Title of the M2 project</w:t>
      </w:r>
    </w:p>
    <w:p w14:paraId="2BF228A3" w14:textId="09AD4D92" w:rsidR="008A496D" w:rsidRPr="00E47B5B" w:rsidRDefault="00EF3046" w:rsidP="0023280C">
      <w:pPr>
        <w:spacing w:after="0" w:line="240" w:lineRule="auto"/>
        <w:rPr>
          <w:b/>
          <w:smallCaps/>
          <w:color w:val="002060"/>
          <w:lang w:val="en-US"/>
        </w:rPr>
      </w:pPr>
      <w:r w:rsidRPr="00EF3046">
        <w:rPr>
          <w:b/>
          <w:smallCaps/>
          <w:color w:val="002060"/>
          <w:lang w:val="en-US"/>
        </w:rPr>
        <w:t xml:space="preserve">The role of the outer membrane of </w:t>
      </w:r>
      <w:proofErr w:type="spellStart"/>
      <w:r w:rsidRPr="00EF3046">
        <w:rPr>
          <w:b/>
          <w:i/>
          <w:smallCaps/>
          <w:color w:val="002060"/>
          <w:lang w:val="en-US"/>
        </w:rPr>
        <w:t>Caballeronia</w:t>
      </w:r>
      <w:proofErr w:type="spellEnd"/>
      <w:r w:rsidRPr="00EF3046">
        <w:rPr>
          <w:b/>
          <w:i/>
          <w:smallCaps/>
          <w:color w:val="002060"/>
          <w:lang w:val="en-US"/>
        </w:rPr>
        <w:t xml:space="preserve"> </w:t>
      </w:r>
      <w:proofErr w:type="spellStart"/>
      <w:r w:rsidRPr="00EF3046">
        <w:rPr>
          <w:b/>
          <w:i/>
          <w:smallCaps/>
          <w:color w:val="002060"/>
          <w:lang w:val="en-US"/>
        </w:rPr>
        <w:t>insecticola</w:t>
      </w:r>
      <w:proofErr w:type="spellEnd"/>
      <w:r w:rsidRPr="00EF3046">
        <w:rPr>
          <w:b/>
          <w:smallCaps/>
          <w:color w:val="002060"/>
          <w:lang w:val="en-US"/>
        </w:rPr>
        <w:t xml:space="preserve"> in the resistance to antimicrobial peptides and the colonization of plant roots and insect guts</w:t>
      </w:r>
    </w:p>
    <w:p w14:paraId="040DC23F" w14:textId="77777777" w:rsidR="00F76526" w:rsidRPr="00E47B5B" w:rsidRDefault="00F76526" w:rsidP="0023280C">
      <w:pPr>
        <w:pBdr>
          <w:bottom w:val="single" w:sz="4" w:space="1" w:color="auto"/>
        </w:pBdr>
        <w:spacing w:after="0" w:line="240" w:lineRule="auto"/>
        <w:rPr>
          <w:color w:val="002060"/>
          <w:lang w:val="en-US"/>
        </w:rPr>
      </w:pPr>
    </w:p>
    <w:p w14:paraId="1EE19F60" w14:textId="1D12C7F7" w:rsidR="00027FC6" w:rsidRPr="00E47B5B" w:rsidRDefault="00691CA6" w:rsidP="00E47B5B">
      <w:pPr>
        <w:shd w:val="clear" w:color="auto" w:fill="DEEAF6" w:themeFill="accent1" w:themeFillTint="33"/>
        <w:spacing w:after="0" w:line="240" w:lineRule="auto"/>
        <w:jc w:val="center"/>
        <w:rPr>
          <w:b/>
          <w:smallCaps/>
          <w:color w:val="002060"/>
          <w:lang w:val="en-US"/>
        </w:rPr>
      </w:pPr>
      <w:r>
        <w:rPr>
          <w:b/>
          <w:smallCaps/>
          <w:color w:val="002060"/>
          <w:lang w:val="en-US"/>
        </w:rPr>
        <w:t>Project description</w:t>
      </w:r>
    </w:p>
    <w:p w14:paraId="1B48EEB0" w14:textId="77777777" w:rsidR="00EF3046" w:rsidRPr="001600FC" w:rsidRDefault="00EF3046" w:rsidP="00EF3046">
      <w:pPr>
        <w:rPr>
          <w:b/>
          <w:smallCaps/>
          <w:color w:val="002060"/>
          <w:lang w:val="en-US"/>
        </w:rPr>
      </w:pPr>
      <w:r w:rsidRPr="001600FC">
        <w:rPr>
          <w:b/>
          <w:smallCaps/>
          <w:color w:val="002060"/>
          <w:lang w:val="en-US"/>
        </w:rPr>
        <w:t>Project:</w:t>
      </w:r>
    </w:p>
    <w:p w14:paraId="57F98870" w14:textId="77777777" w:rsidR="00EF3046" w:rsidRPr="001600FC" w:rsidRDefault="00EF3046" w:rsidP="001600FC">
      <w:pPr>
        <w:spacing w:after="60"/>
        <w:rPr>
          <w:color w:val="002060"/>
          <w:lang w:val="en-US"/>
        </w:rPr>
      </w:pPr>
      <w:proofErr w:type="gramStart"/>
      <w:r w:rsidRPr="001600FC">
        <w:rPr>
          <w:color w:val="002060"/>
          <w:lang w:val="en-US"/>
        </w:rPr>
        <w:t xml:space="preserve">The bacterium </w:t>
      </w:r>
      <w:proofErr w:type="spellStart"/>
      <w:r w:rsidRPr="001600FC">
        <w:rPr>
          <w:i/>
          <w:color w:val="002060"/>
          <w:lang w:val="en-US"/>
        </w:rPr>
        <w:t>Caballeronia</w:t>
      </w:r>
      <w:proofErr w:type="spellEnd"/>
      <w:r w:rsidRPr="001600FC">
        <w:rPr>
          <w:i/>
          <w:color w:val="002060"/>
          <w:lang w:val="en-US"/>
        </w:rPr>
        <w:t xml:space="preserve"> </w:t>
      </w:r>
      <w:proofErr w:type="spellStart"/>
      <w:r w:rsidRPr="001600FC">
        <w:rPr>
          <w:i/>
          <w:color w:val="002060"/>
          <w:lang w:val="en-US"/>
        </w:rPr>
        <w:t>insecticola</w:t>
      </w:r>
      <w:proofErr w:type="spellEnd"/>
      <w:r w:rsidRPr="001600FC">
        <w:rPr>
          <w:color w:val="002060"/>
          <w:lang w:val="en-US"/>
        </w:rPr>
        <w:t xml:space="preserve"> has multiple lifestyles: 1) it is a gut resident of the phytophagous insect </w:t>
      </w:r>
      <w:proofErr w:type="spellStart"/>
      <w:r w:rsidRPr="001600FC">
        <w:rPr>
          <w:i/>
          <w:color w:val="002060"/>
          <w:lang w:val="en-US"/>
        </w:rPr>
        <w:t>Riptortus</w:t>
      </w:r>
      <w:proofErr w:type="spellEnd"/>
      <w:r w:rsidRPr="001600FC">
        <w:rPr>
          <w:i/>
          <w:color w:val="002060"/>
          <w:lang w:val="en-US"/>
        </w:rPr>
        <w:t xml:space="preserve"> </w:t>
      </w:r>
      <w:proofErr w:type="spellStart"/>
      <w:r w:rsidRPr="001600FC">
        <w:rPr>
          <w:i/>
          <w:color w:val="002060"/>
          <w:lang w:val="en-US"/>
        </w:rPr>
        <w:t>pedestris</w:t>
      </w:r>
      <w:proofErr w:type="spellEnd"/>
      <w:r w:rsidRPr="001600FC">
        <w:rPr>
          <w:color w:val="002060"/>
          <w:lang w:val="en-US"/>
        </w:rPr>
        <w:t xml:space="preserve">; 2) it is a soil bacterium that is well adapted to survive in this oligotrophic environment; 3) in soils, it can associate with hyphae of fungi and travel over long distances using growing hyphae as vehicle; 4) it can colonize the rhizosphere and </w:t>
      </w:r>
      <w:proofErr w:type="spellStart"/>
      <w:r w:rsidRPr="001600FC">
        <w:rPr>
          <w:color w:val="002060"/>
          <w:lang w:val="en-US"/>
        </w:rPr>
        <w:t>endosphere</w:t>
      </w:r>
      <w:proofErr w:type="spellEnd"/>
      <w:r w:rsidRPr="001600FC">
        <w:rPr>
          <w:color w:val="002060"/>
          <w:lang w:val="en-US"/>
        </w:rPr>
        <w:t xml:space="preserve"> of plants.</w:t>
      </w:r>
      <w:proofErr w:type="gramEnd"/>
    </w:p>
    <w:p w14:paraId="1AF41ADD" w14:textId="77777777" w:rsidR="00EF3046" w:rsidRPr="001600FC" w:rsidRDefault="00EF3046" w:rsidP="001600FC">
      <w:pPr>
        <w:spacing w:after="60"/>
        <w:rPr>
          <w:color w:val="002060"/>
          <w:lang w:val="en-US"/>
        </w:rPr>
      </w:pPr>
      <w:r w:rsidRPr="001600FC">
        <w:rPr>
          <w:color w:val="002060"/>
          <w:lang w:val="en-US"/>
        </w:rPr>
        <w:t xml:space="preserve">High-throughput genetic screens in </w:t>
      </w:r>
      <w:r w:rsidRPr="001600FC">
        <w:rPr>
          <w:i/>
          <w:color w:val="002060"/>
          <w:lang w:val="en-US"/>
        </w:rPr>
        <w:t xml:space="preserve">C. </w:t>
      </w:r>
      <w:proofErr w:type="spellStart"/>
      <w:r w:rsidRPr="001600FC">
        <w:rPr>
          <w:i/>
          <w:color w:val="002060"/>
          <w:lang w:val="en-US"/>
        </w:rPr>
        <w:t>insecticola</w:t>
      </w:r>
      <w:proofErr w:type="spellEnd"/>
      <w:r w:rsidRPr="001600FC">
        <w:rPr>
          <w:color w:val="002060"/>
          <w:lang w:val="en-US"/>
        </w:rPr>
        <w:t xml:space="preserve"> </w:t>
      </w:r>
      <w:proofErr w:type="gramStart"/>
      <w:r w:rsidRPr="001600FC">
        <w:rPr>
          <w:color w:val="002060"/>
          <w:lang w:val="en-US"/>
        </w:rPr>
        <w:t>have been performed</w:t>
      </w:r>
      <w:proofErr w:type="gramEnd"/>
      <w:r w:rsidRPr="001600FC">
        <w:rPr>
          <w:color w:val="002060"/>
          <w:lang w:val="en-US"/>
        </w:rPr>
        <w:t xml:space="preserve"> in the recent past by the laboratory, using transposon-sequencing (</w:t>
      </w:r>
      <w:proofErr w:type="spellStart"/>
      <w:r w:rsidRPr="001600FC">
        <w:rPr>
          <w:color w:val="002060"/>
          <w:lang w:val="en-US"/>
        </w:rPr>
        <w:t>Tn-seq</w:t>
      </w:r>
      <w:proofErr w:type="spellEnd"/>
      <w:r w:rsidRPr="001600FC">
        <w:rPr>
          <w:color w:val="002060"/>
          <w:lang w:val="en-US"/>
        </w:rPr>
        <w:t xml:space="preserve">) in order to identify the genetic repertoire that determines its adaptation to these environments. In addition, similar genetic screens </w:t>
      </w:r>
      <w:proofErr w:type="gramStart"/>
      <w:r w:rsidRPr="001600FC">
        <w:rPr>
          <w:color w:val="002060"/>
          <w:lang w:val="en-US"/>
        </w:rPr>
        <w:t>have been performed</w:t>
      </w:r>
      <w:proofErr w:type="gramEnd"/>
      <w:r w:rsidRPr="001600FC">
        <w:rPr>
          <w:color w:val="002060"/>
          <w:lang w:val="en-US"/>
        </w:rPr>
        <w:t xml:space="preserve"> on in vitro conditions that might mimic particular stress or growth conditions existing in the natural environments. </w:t>
      </w:r>
    </w:p>
    <w:p w14:paraId="21B75286" w14:textId="77777777" w:rsidR="00EF3046" w:rsidRPr="001600FC" w:rsidRDefault="00EF3046" w:rsidP="001600FC">
      <w:pPr>
        <w:spacing w:after="60"/>
        <w:rPr>
          <w:color w:val="002060"/>
          <w:lang w:val="en-US"/>
        </w:rPr>
      </w:pPr>
      <w:r w:rsidRPr="001600FC">
        <w:rPr>
          <w:color w:val="002060"/>
          <w:lang w:val="en-US"/>
        </w:rPr>
        <w:t xml:space="preserve">In a </w:t>
      </w:r>
      <w:proofErr w:type="spellStart"/>
      <w:r w:rsidRPr="001600FC">
        <w:rPr>
          <w:color w:val="002060"/>
          <w:lang w:val="en-US"/>
        </w:rPr>
        <w:t>Tn-seq</w:t>
      </w:r>
      <w:proofErr w:type="spellEnd"/>
      <w:r w:rsidRPr="001600FC">
        <w:rPr>
          <w:color w:val="002060"/>
          <w:lang w:val="en-US"/>
        </w:rPr>
        <w:t xml:space="preserve"> screen with </w:t>
      </w:r>
      <w:proofErr w:type="gramStart"/>
      <w:r w:rsidRPr="001600FC">
        <w:rPr>
          <w:color w:val="002060"/>
          <w:lang w:val="en-US"/>
        </w:rPr>
        <w:t>membrane-targeting</w:t>
      </w:r>
      <w:proofErr w:type="gramEnd"/>
      <w:r w:rsidRPr="001600FC">
        <w:rPr>
          <w:color w:val="002060"/>
          <w:lang w:val="en-US"/>
        </w:rPr>
        <w:t xml:space="preserve"> antimicrobial peptides (AMPs), which are abundantly produced in the insect gut, many genes in lipopolysaccharide (LPS) biosynthesis were identified in addition to genes with unknown function. Interestingly, these genes </w:t>
      </w:r>
      <w:proofErr w:type="gramStart"/>
      <w:r w:rsidRPr="001600FC">
        <w:rPr>
          <w:color w:val="002060"/>
          <w:lang w:val="en-US"/>
        </w:rPr>
        <w:t>were also identified</w:t>
      </w:r>
      <w:proofErr w:type="gramEnd"/>
      <w:r w:rsidRPr="001600FC">
        <w:rPr>
          <w:color w:val="002060"/>
          <w:lang w:val="en-US"/>
        </w:rPr>
        <w:t xml:space="preserve"> in the screens performed in the insect gut as well as in the rhizosphere colonization, indicating that AMP-resistance is crucial to colonize the insect gut and the plant rhizosphere. </w:t>
      </w:r>
    </w:p>
    <w:p w14:paraId="10E5A80A" w14:textId="77777777" w:rsidR="00EF3046" w:rsidRPr="001600FC" w:rsidRDefault="00EF3046" w:rsidP="001600FC">
      <w:pPr>
        <w:spacing w:after="60"/>
        <w:rPr>
          <w:color w:val="002060"/>
          <w:lang w:val="en-US"/>
        </w:rPr>
      </w:pPr>
      <w:r w:rsidRPr="001600FC">
        <w:rPr>
          <w:color w:val="002060"/>
          <w:lang w:val="en-US"/>
        </w:rPr>
        <w:t xml:space="preserve">Contrary to the often-held view that LPS is the primary AMP-target in the outer membrane of bacteria, our detailed molecular characterization of the various </w:t>
      </w:r>
      <w:r w:rsidRPr="001600FC">
        <w:rPr>
          <w:i/>
          <w:color w:val="002060"/>
          <w:lang w:val="en-US"/>
        </w:rPr>
        <w:t xml:space="preserve">C. </w:t>
      </w:r>
      <w:proofErr w:type="spellStart"/>
      <w:r w:rsidRPr="001600FC">
        <w:rPr>
          <w:i/>
          <w:color w:val="002060"/>
          <w:lang w:val="en-US"/>
        </w:rPr>
        <w:t>insecticola</w:t>
      </w:r>
      <w:proofErr w:type="spellEnd"/>
      <w:r w:rsidRPr="001600FC">
        <w:rPr>
          <w:color w:val="002060"/>
          <w:lang w:val="en-US"/>
        </w:rPr>
        <w:t xml:space="preserve"> AMP-resistance mutants strongly suggests that in </w:t>
      </w:r>
      <w:r w:rsidRPr="001600FC">
        <w:rPr>
          <w:i/>
          <w:color w:val="002060"/>
          <w:lang w:val="en-US"/>
        </w:rPr>
        <w:t xml:space="preserve">C. </w:t>
      </w:r>
      <w:proofErr w:type="spellStart"/>
      <w:r w:rsidRPr="001600FC">
        <w:rPr>
          <w:i/>
          <w:color w:val="002060"/>
          <w:lang w:val="en-US"/>
        </w:rPr>
        <w:t>insecticola</w:t>
      </w:r>
      <w:proofErr w:type="spellEnd"/>
      <w:r w:rsidRPr="001600FC">
        <w:rPr>
          <w:color w:val="002060"/>
          <w:lang w:val="en-US"/>
        </w:rPr>
        <w:t xml:space="preserve"> this is not the case. Our data rather suggest that the LPS form a </w:t>
      </w:r>
      <w:proofErr w:type="spellStart"/>
      <w:r w:rsidRPr="001600FC">
        <w:rPr>
          <w:color w:val="002060"/>
          <w:lang w:val="en-US"/>
        </w:rPr>
        <w:t>physico</w:t>
      </w:r>
      <w:proofErr w:type="spellEnd"/>
      <w:r w:rsidRPr="001600FC">
        <w:rPr>
          <w:color w:val="002060"/>
          <w:lang w:val="en-US"/>
        </w:rPr>
        <w:t xml:space="preserve">-chemical shield that prevents the AMPs to reach their real but so far unknown targets in the outer membrane of the bacteria, which could be other outer membrane lipids or proteins. The identification in our initial AMP </w:t>
      </w:r>
      <w:proofErr w:type="spellStart"/>
      <w:r w:rsidRPr="001600FC">
        <w:rPr>
          <w:color w:val="002060"/>
          <w:lang w:val="en-US"/>
        </w:rPr>
        <w:t>Tn-seq</w:t>
      </w:r>
      <w:proofErr w:type="spellEnd"/>
      <w:r w:rsidRPr="001600FC">
        <w:rPr>
          <w:color w:val="002060"/>
          <w:lang w:val="en-US"/>
        </w:rPr>
        <w:t xml:space="preserve"> screen of gene functions unrelated to LPS biosynthesis is in agreement with this hypothesis. </w:t>
      </w:r>
    </w:p>
    <w:p w14:paraId="556C3470" w14:textId="77777777" w:rsidR="00EF3046" w:rsidRPr="001600FC" w:rsidRDefault="00EF3046" w:rsidP="001600FC">
      <w:pPr>
        <w:spacing w:after="60"/>
        <w:rPr>
          <w:color w:val="002060"/>
          <w:lang w:val="en-US"/>
        </w:rPr>
      </w:pPr>
      <w:r w:rsidRPr="001600FC">
        <w:rPr>
          <w:color w:val="002060"/>
          <w:lang w:val="en-US"/>
        </w:rPr>
        <w:t xml:space="preserve">In order to go towards the better understanding of how AMPs interact with </w:t>
      </w:r>
      <w:r w:rsidRPr="001600FC">
        <w:rPr>
          <w:i/>
          <w:color w:val="002060"/>
          <w:lang w:val="en-US"/>
        </w:rPr>
        <w:t xml:space="preserve">C. </w:t>
      </w:r>
      <w:proofErr w:type="spellStart"/>
      <w:r w:rsidRPr="001600FC">
        <w:rPr>
          <w:i/>
          <w:color w:val="002060"/>
          <w:lang w:val="en-US"/>
        </w:rPr>
        <w:t>insecticola</w:t>
      </w:r>
      <w:proofErr w:type="spellEnd"/>
      <w:r w:rsidRPr="001600FC">
        <w:rPr>
          <w:color w:val="002060"/>
          <w:lang w:val="en-US"/>
        </w:rPr>
        <w:t xml:space="preserve"> membranes and the identification of their molecular targets, the Master 2 student will perform new genetic screens. The available AMP-sensitive mutants (LPS mutants and mutants in other functions) </w:t>
      </w:r>
      <w:proofErr w:type="gramStart"/>
      <w:r w:rsidRPr="001600FC">
        <w:rPr>
          <w:color w:val="002060"/>
          <w:lang w:val="en-US"/>
        </w:rPr>
        <w:t>will be mutagenized</w:t>
      </w:r>
      <w:proofErr w:type="gramEnd"/>
      <w:r w:rsidRPr="001600FC">
        <w:rPr>
          <w:color w:val="002060"/>
          <w:lang w:val="en-US"/>
        </w:rPr>
        <w:t xml:space="preserve"> by transposon mutagenesis. These libraries </w:t>
      </w:r>
      <w:proofErr w:type="gramStart"/>
      <w:r w:rsidRPr="001600FC">
        <w:rPr>
          <w:color w:val="002060"/>
          <w:lang w:val="en-US"/>
        </w:rPr>
        <w:t>will be screened</w:t>
      </w:r>
      <w:proofErr w:type="gramEnd"/>
      <w:r w:rsidRPr="001600FC">
        <w:rPr>
          <w:color w:val="002060"/>
          <w:lang w:val="en-US"/>
        </w:rPr>
        <w:t xml:space="preserve"> for mutations that revert the AMP-sensitivity to wild-type level resistance. Such mutants could have the AMP-targets inactivated. The screens </w:t>
      </w:r>
      <w:proofErr w:type="gramStart"/>
      <w:r w:rsidRPr="001600FC">
        <w:rPr>
          <w:color w:val="002060"/>
          <w:lang w:val="en-US"/>
        </w:rPr>
        <w:t>will be performed</w:t>
      </w:r>
      <w:proofErr w:type="gramEnd"/>
      <w:r w:rsidRPr="001600FC">
        <w:rPr>
          <w:color w:val="002060"/>
          <w:lang w:val="en-US"/>
        </w:rPr>
        <w:t xml:space="preserve"> by </w:t>
      </w:r>
      <w:proofErr w:type="spellStart"/>
      <w:r w:rsidRPr="001600FC">
        <w:rPr>
          <w:color w:val="002060"/>
          <w:lang w:val="en-US"/>
        </w:rPr>
        <w:t>Tn-seq</w:t>
      </w:r>
      <w:proofErr w:type="spellEnd"/>
      <w:r w:rsidRPr="001600FC">
        <w:rPr>
          <w:color w:val="002060"/>
          <w:lang w:val="en-US"/>
        </w:rPr>
        <w:t xml:space="preserve"> as well as by selection of resistance clones. In parallel, flow cytometry combined with </w:t>
      </w:r>
      <w:proofErr w:type="spellStart"/>
      <w:r w:rsidRPr="001600FC">
        <w:rPr>
          <w:color w:val="002060"/>
          <w:lang w:val="en-US"/>
        </w:rPr>
        <w:t>Tn-seq</w:t>
      </w:r>
      <w:proofErr w:type="spellEnd"/>
      <w:r w:rsidRPr="001600FC">
        <w:rPr>
          <w:color w:val="002060"/>
          <w:lang w:val="en-US"/>
        </w:rPr>
        <w:t xml:space="preserve"> </w:t>
      </w:r>
      <w:proofErr w:type="gramStart"/>
      <w:r w:rsidRPr="001600FC">
        <w:rPr>
          <w:color w:val="002060"/>
          <w:lang w:val="en-US"/>
        </w:rPr>
        <w:t>will be used</w:t>
      </w:r>
      <w:proofErr w:type="gramEnd"/>
      <w:r w:rsidRPr="001600FC">
        <w:rPr>
          <w:color w:val="002060"/>
          <w:lang w:val="en-US"/>
        </w:rPr>
        <w:t xml:space="preserve"> to identify mutants that have an altered binding to fluorescent-labeled AMPs. Such mutants </w:t>
      </w:r>
      <w:proofErr w:type="gramStart"/>
      <w:r w:rsidRPr="001600FC">
        <w:rPr>
          <w:color w:val="002060"/>
          <w:lang w:val="en-US"/>
        </w:rPr>
        <w:t>are also expected</w:t>
      </w:r>
      <w:proofErr w:type="gramEnd"/>
      <w:r w:rsidRPr="001600FC">
        <w:rPr>
          <w:color w:val="002060"/>
          <w:lang w:val="en-US"/>
        </w:rPr>
        <w:t xml:space="preserve"> to be in genes involved in the constitution of the AMP membrane targets. </w:t>
      </w:r>
    </w:p>
    <w:p w14:paraId="33249E5B" w14:textId="77777777" w:rsidR="00EF3046" w:rsidRPr="001600FC" w:rsidRDefault="00EF3046" w:rsidP="001600FC">
      <w:pPr>
        <w:spacing w:after="60"/>
        <w:rPr>
          <w:color w:val="002060"/>
          <w:lang w:val="en-US"/>
        </w:rPr>
      </w:pPr>
      <w:proofErr w:type="gramStart"/>
      <w:r w:rsidRPr="001600FC">
        <w:rPr>
          <w:color w:val="002060"/>
          <w:lang w:val="en-US"/>
        </w:rPr>
        <w:t>Deletion mutants of thus-identified candidate genes will be constructed by the student</w:t>
      </w:r>
      <w:proofErr w:type="gramEnd"/>
      <w:r w:rsidRPr="001600FC">
        <w:rPr>
          <w:color w:val="002060"/>
          <w:lang w:val="en-US"/>
        </w:rPr>
        <w:t xml:space="preserve">. Finally, the mutants </w:t>
      </w:r>
      <w:proofErr w:type="gramStart"/>
      <w:r w:rsidRPr="001600FC">
        <w:rPr>
          <w:color w:val="002060"/>
          <w:lang w:val="en-US"/>
        </w:rPr>
        <w:t>will be phenotypically characterized</w:t>
      </w:r>
      <w:proofErr w:type="gramEnd"/>
      <w:r w:rsidRPr="001600FC">
        <w:rPr>
          <w:color w:val="002060"/>
          <w:lang w:val="en-US"/>
        </w:rPr>
        <w:t xml:space="preserve"> in detail in terms of AMP resistance and capacity to colonize the natural environments of the bacterium.</w:t>
      </w:r>
    </w:p>
    <w:p w14:paraId="72046119" w14:textId="77777777" w:rsidR="00EF3046" w:rsidRPr="001600FC" w:rsidRDefault="00EF3046" w:rsidP="001600FC">
      <w:pPr>
        <w:spacing w:after="60"/>
        <w:rPr>
          <w:b/>
          <w:smallCaps/>
          <w:color w:val="002060"/>
          <w:lang w:val="en-US"/>
        </w:rPr>
      </w:pPr>
      <w:r w:rsidRPr="001600FC">
        <w:rPr>
          <w:b/>
          <w:smallCaps/>
          <w:color w:val="002060"/>
          <w:lang w:val="en-US"/>
        </w:rPr>
        <w:t xml:space="preserve">Methods used during the internship: </w:t>
      </w:r>
    </w:p>
    <w:p w14:paraId="2D0DF4B8" w14:textId="77777777" w:rsidR="00EF3046" w:rsidRPr="001600FC" w:rsidRDefault="00EF3046" w:rsidP="001600FC">
      <w:pPr>
        <w:spacing w:after="60"/>
        <w:rPr>
          <w:color w:val="002060"/>
          <w:lang w:val="en-US"/>
        </w:rPr>
      </w:pPr>
      <w:r w:rsidRPr="001600FC">
        <w:rPr>
          <w:color w:val="002060"/>
          <w:lang w:val="en-US"/>
        </w:rPr>
        <w:t>-</w:t>
      </w:r>
      <w:proofErr w:type="spellStart"/>
      <w:proofErr w:type="gramStart"/>
      <w:r w:rsidRPr="001600FC">
        <w:rPr>
          <w:color w:val="002060"/>
          <w:lang w:val="en-US"/>
        </w:rPr>
        <w:t>Tn-</w:t>
      </w:r>
      <w:proofErr w:type="gramEnd"/>
      <w:r w:rsidRPr="001600FC">
        <w:rPr>
          <w:color w:val="002060"/>
          <w:lang w:val="en-US"/>
        </w:rPr>
        <w:t>seq</w:t>
      </w:r>
      <w:proofErr w:type="spellEnd"/>
      <w:r w:rsidRPr="001600FC">
        <w:rPr>
          <w:color w:val="002060"/>
          <w:lang w:val="en-US"/>
        </w:rPr>
        <w:t xml:space="preserve">: the creation of transposon mutant libraries, AMP-sensitivity and flow cytometry-based screenings and high throughput sequencing for quantification of all mutants in the mutant population. </w:t>
      </w:r>
    </w:p>
    <w:p w14:paraId="0B71FB68" w14:textId="77777777" w:rsidR="00EF3046" w:rsidRPr="001600FC" w:rsidRDefault="00EF3046" w:rsidP="001600FC">
      <w:pPr>
        <w:spacing w:after="60"/>
        <w:rPr>
          <w:color w:val="002060"/>
          <w:lang w:val="en-US"/>
        </w:rPr>
      </w:pPr>
      <w:r w:rsidRPr="001600FC">
        <w:rPr>
          <w:color w:val="002060"/>
          <w:lang w:val="en-US"/>
        </w:rPr>
        <w:lastRenderedPageBreak/>
        <w:t>-Molecular microbiology for construction of deletion mutants.</w:t>
      </w:r>
    </w:p>
    <w:p w14:paraId="2EC67FFA" w14:textId="77777777" w:rsidR="00EF3046" w:rsidRPr="001600FC" w:rsidRDefault="00EF3046" w:rsidP="001600FC">
      <w:pPr>
        <w:spacing w:after="60"/>
        <w:rPr>
          <w:color w:val="002060"/>
          <w:lang w:val="en-US"/>
        </w:rPr>
      </w:pPr>
      <w:r w:rsidRPr="001600FC">
        <w:rPr>
          <w:color w:val="002060"/>
          <w:lang w:val="en-US"/>
        </w:rPr>
        <w:t>-Mutant phenotyping assays: AMP-sensitivity assays; fluorescence microscopy and flow cytometry; chemical analysis of LPS</w:t>
      </w:r>
      <w:proofErr w:type="gramStart"/>
      <w:r w:rsidRPr="001600FC">
        <w:rPr>
          <w:color w:val="002060"/>
          <w:lang w:val="en-US"/>
        </w:rPr>
        <w:t>;</w:t>
      </w:r>
      <w:proofErr w:type="gramEnd"/>
      <w:r w:rsidRPr="001600FC">
        <w:rPr>
          <w:color w:val="002060"/>
          <w:lang w:val="en-US"/>
        </w:rPr>
        <w:t xml:space="preserve"> other chemical and biological analytic methods depending on the nature of the mutated genes.</w:t>
      </w:r>
    </w:p>
    <w:p w14:paraId="10286055" w14:textId="77777777" w:rsidR="00EF3046" w:rsidRPr="001600FC" w:rsidRDefault="00EF3046" w:rsidP="001600FC">
      <w:pPr>
        <w:spacing w:after="60"/>
        <w:rPr>
          <w:color w:val="002060"/>
          <w:lang w:val="en-US"/>
        </w:rPr>
      </w:pPr>
      <w:r w:rsidRPr="001600FC">
        <w:rPr>
          <w:color w:val="002060"/>
          <w:lang w:val="en-US"/>
        </w:rPr>
        <w:t>-Insect rearing, infection, dissection and gut analysis by microscopy and flow cytometry.</w:t>
      </w:r>
    </w:p>
    <w:p w14:paraId="78044D6E" w14:textId="77777777" w:rsidR="00EF3046" w:rsidRPr="001600FC" w:rsidRDefault="00EF3046" w:rsidP="001600FC">
      <w:pPr>
        <w:spacing w:after="60"/>
        <w:rPr>
          <w:color w:val="002060"/>
          <w:lang w:val="en-US"/>
        </w:rPr>
      </w:pPr>
      <w:r w:rsidRPr="001600FC">
        <w:rPr>
          <w:color w:val="002060"/>
          <w:lang w:val="en-US"/>
        </w:rPr>
        <w:t xml:space="preserve">-Plant </w:t>
      </w:r>
      <w:proofErr w:type="gramStart"/>
      <w:r w:rsidRPr="001600FC">
        <w:rPr>
          <w:color w:val="002060"/>
          <w:lang w:val="en-US"/>
        </w:rPr>
        <w:t>growth and colonization</w:t>
      </w:r>
      <w:proofErr w:type="gramEnd"/>
      <w:r w:rsidRPr="001600FC">
        <w:rPr>
          <w:color w:val="002060"/>
          <w:lang w:val="en-US"/>
        </w:rPr>
        <w:t xml:space="preserve"> and analysis by bacterial counting.</w:t>
      </w:r>
    </w:p>
    <w:p w14:paraId="037B3632" w14:textId="77777777" w:rsidR="00D85739" w:rsidRPr="004B5FA7" w:rsidRDefault="00D85739" w:rsidP="0023280C">
      <w:pPr>
        <w:pBdr>
          <w:bottom w:val="single" w:sz="4" w:space="1" w:color="auto"/>
        </w:pBdr>
        <w:spacing w:after="0" w:line="240" w:lineRule="auto"/>
        <w:rPr>
          <w:color w:val="002060"/>
          <w:lang w:val="en-US"/>
        </w:rPr>
      </w:pPr>
    </w:p>
    <w:p w14:paraId="28DACF0B" w14:textId="229D90A6" w:rsidR="00E47B5B" w:rsidRPr="00E47B5B" w:rsidRDefault="000A5A26" w:rsidP="00E47B5B">
      <w:pPr>
        <w:shd w:val="clear" w:color="auto" w:fill="DEEAF6" w:themeFill="accent1" w:themeFillTint="33"/>
        <w:spacing w:after="0" w:line="240" w:lineRule="auto"/>
        <w:jc w:val="center"/>
        <w:rPr>
          <w:b/>
          <w:smallCaps/>
          <w:color w:val="002060"/>
          <w:lang w:val="en-US"/>
        </w:rPr>
      </w:pPr>
      <w:r>
        <w:rPr>
          <w:b/>
          <w:smallCaps/>
          <w:color w:val="002060"/>
          <w:lang w:val="en-US"/>
        </w:rPr>
        <w:t>Keywords</w:t>
      </w:r>
    </w:p>
    <w:p w14:paraId="6D459948" w14:textId="43FA3A72" w:rsidR="00E47B5B" w:rsidRPr="00E47B5B" w:rsidRDefault="00EF3046" w:rsidP="00E47B5B">
      <w:pPr>
        <w:spacing w:after="0" w:line="240" w:lineRule="auto"/>
        <w:rPr>
          <w:b/>
          <w:smallCaps/>
          <w:color w:val="002060"/>
          <w:lang w:val="en-US"/>
        </w:rPr>
      </w:pPr>
      <w:r>
        <w:rPr>
          <w:b/>
          <w:smallCaps/>
          <w:color w:val="002060"/>
          <w:lang w:val="en-US"/>
        </w:rPr>
        <w:t xml:space="preserve">Antimicrobial Peptides; </w:t>
      </w:r>
      <w:proofErr w:type="spellStart"/>
      <w:r>
        <w:rPr>
          <w:b/>
          <w:smallCaps/>
          <w:color w:val="002060"/>
          <w:lang w:val="en-US"/>
        </w:rPr>
        <w:t>Tn-seq</w:t>
      </w:r>
      <w:proofErr w:type="spellEnd"/>
      <w:r>
        <w:rPr>
          <w:b/>
          <w:smallCaps/>
          <w:color w:val="002060"/>
          <w:lang w:val="en-US"/>
        </w:rPr>
        <w:t xml:space="preserve"> (transposon sequencing); bacterial </w:t>
      </w:r>
      <w:proofErr w:type="spellStart"/>
      <w:r>
        <w:rPr>
          <w:b/>
          <w:smallCaps/>
          <w:color w:val="002060"/>
          <w:lang w:val="en-US"/>
        </w:rPr>
        <w:t>outermembrane</w:t>
      </w:r>
      <w:proofErr w:type="spellEnd"/>
      <w:r>
        <w:rPr>
          <w:b/>
          <w:smallCaps/>
          <w:color w:val="002060"/>
          <w:lang w:val="en-US"/>
        </w:rPr>
        <w:t xml:space="preserve"> and resistance; </w:t>
      </w:r>
      <w:proofErr w:type="spellStart"/>
      <w:r w:rsidRPr="00EF3046">
        <w:rPr>
          <w:b/>
          <w:i/>
          <w:smallCaps/>
          <w:color w:val="002060"/>
          <w:lang w:val="en-US"/>
        </w:rPr>
        <w:t>Caballeronia</w:t>
      </w:r>
      <w:proofErr w:type="spellEnd"/>
      <w:r w:rsidRPr="00EF3046">
        <w:rPr>
          <w:b/>
          <w:i/>
          <w:smallCaps/>
          <w:color w:val="002060"/>
          <w:lang w:val="en-US"/>
        </w:rPr>
        <w:t xml:space="preserve"> </w:t>
      </w:r>
      <w:proofErr w:type="spellStart"/>
      <w:r w:rsidRPr="00EF3046">
        <w:rPr>
          <w:b/>
          <w:i/>
          <w:smallCaps/>
          <w:color w:val="002060"/>
          <w:lang w:val="en-US"/>
        </w:rPr>
        <w:t>insecticola</w:t>
      </w:r>
      <w:proofErr w:type="spellEnd"/>
      <w:r>
        <w:rPr>
          <w:b/>
          <w:smallCaps/>
          <w:color w:val="002060"/>
          <w:lang w:val="en-US"/>
        </w:rPr>
        <w:t xml:space="preserve"> (belonging to the </w:t>
      </w:r>
      <w:proofErr w:type="spellStart"/>
      <w:r w:rsidRPr="00EF3046">
        <w:rPr>
          <w:b/>
          <w:i/>
          <w:smallCaps/>
          <w:color w:val="002060"/>
          <w:lang w:val="en-US"/>
        </w:rPr>
        <w:t>Burkholderiaceae</w:t>
      </w:r>
      <w:proofErr w:type="spellEnd"/>
      <w:r>
        <w:rPr>
          <w:b/>
          <w:smallCaps/>
          <w:color w:val="002060"/>
          <w:lang w:val="en-US"/>
        </w:rPr>
        <w:t>)</w:t>
      </w:r>
    </w:p>
    <w:p w14:paraId="22165984" w14:textId="184D34F3" w:rsidR="00E47B5B" w:rsidRDefault="00E47B5B" w:rsidP="00E47B5B">
      <w:pPr>
        <w:pBdr>
          <w:bottom w:val="single" w:sz="4" w:space="1" w:color="auto"/>
        </w:pBdr>
        <w:spacing w:after="0" w:line="240" w:lineRule="auto"/>
        <w:rPr>
          <w:b/>
          <w:smallCaps/>
          <w:color w:val="002060"/>
          <w:lang w:val="en-US"/>
        </w:rPr>
      </w:pPr>
    </w:p>
    <w:p w14:paraId="27650E5F" w14:textId="6F17CED1" w:rsidR="00EF3046" w:rsidRPr="00E47B5B" w:rsidRDefault="00EF3046" w:rsidP="00EF3046">
      <w:pPr>
        <w:shd w:val="clear" w:color="auto" w:fill="DEEAF6" w:themeFill="accent1" w:themeFillTint="33"/>
        <w:spacing w:after="0" w:line="240" w:lineRule="auto"/>
        <w:jc w:val="center"/>
        <w:rPr>
          <w:b/>
          <w:smallCaps/>
          <w:color w:val="002060"/>
          <w:lang w:val="en-US"/>
        </w:rPr>
      </w:pPr>
      <w:r>
        <w:rPr>
          <w:b/>
          <w:smallCaps/>
          <w:color w:val="002060"/>
          <w:lang w:val="en-US"/>
        </w:rPr>
        <w:t>Bibliography</w:t>
      </w:r>
    </w:p>
    <w:p w14:paraId="6AE51FE9" w14:textId="77777777" w:rsidR="00EF3046" w:rsidRPr="00EF3046" w:rsidRDefault="00EF3046" w:rsidP="00EF3046">
      <w:pPr>
        <w:spacing w:after="0" w:line="240" w:lineRule="auto"/>
        <w:rPr>
          <w:u w:val="single"/>
          <w:lang w:val="en-US"/>
        </w:rPr>
      </w:pPr>
    </w:p>
    <w:p w14:paraId="52A10B1A" w14:textId="77777777" w:rsidR="00EF3046" w:rsidRPr="001600FC" w:rsidRDefault="00EF3046" w:rsidP="00EF3046">
      <w:pPr>
        <w:rPr>
          <w:rFonts w:cstheme="minorHAnsi"/>
          <w:color w:val="002060"/>
          <w:lang w:val="en-US"/>
        </w:rPr>
      </w:pPr>
      <w:proofErr w:type="gramStart"/>
      <w:r w:rsidRPr="001600FC">
        <w:rPr>
          <w:rFonts w:cstheme="minorHAnsi"/>
          <w:color w:val="002060"/>
          <w:lang w:val="en-US"/>
        </w:rPr>
        <w:t>van</w:t>
      </w:r>
      <w:proofErr w:type="gramEnd"/>
      <w:r w:rsidRPr="001600FC">
        <w:rPr>
          <w:rFonts w:cstheme="minorHAnsi"/>
          <w:color w:val="002060"/>
          <w:lang w:val="en-US"/>
        </w:rPr>
        <w:t xml:space="preserve"> </w:t>
      </w:r>
      <w:proofErr w:type="spellStart"/>
      <w:r w:rsidRPr="001600FC">
        <w:rPr>
          <w:rFonts w:cstheme="minorHAnsi"/>
          <w:color w:val="002060"/>
          <w:lang w:val="en-US"/>
        </w:rPr>
        <w:t>Opijnen</w:t>
      </w:r>
      <w:proofErr w:type="spellEnd"/>
      <w:r w:rsidRPr="001600FC">
        <w:rPr>
          <w:rFonts w:cstheme="minorHAnsi"/>
          <w:color w:val="002060"/>
          <w:lang w:val="en-US"/>
        </w:rPr>
        <w:t xml:space="preserve">, T., and Levin, H.L. (2020). Transposon insertion sequencing, a global measure of gene function. </w:t>
      </w:r>
      <w:proofErr w:type="spellStart"/>
      <w:r w:rsidRPr="001600FC">
        <w:rPr>
          <w:rFonts w:cstheme="minorHAnsi"/>
          <w:color w:val="002060"/>
          <w:lang w:val="en-US"/>
        </w:rPr>
        <w:t>Annu</w:t>
      </w:r>
      <w:proofErr w:type="spellEnd"/>
      <w:r w:rsidRPr="001600FC">
        <w:rPr>
          <w:rFonts w:cstheme="minorHAnsi"/>
          <w:color w:val="002060"/>
          <w:lang w:val="en-US"/>
        </w:rPr>
        <w:t xml:space="preserve">. Rev. Genet. </w:t>
      </w:r>
      <w:proofErr w:type="gramStart"/>
      <w:r w:rsidRPr="001600FC">
        <w:rPr>
          <w:rFonts w:cstheme="minorHAnsi"/>
          <w:color w:val="002060"/>
          <w:lang w:val="en-US"/>
        </w:rPr>
        <w:t>54</w:t>
      </w:r>
      <w:proofErr w:type="gramEnd"/>
      <w:r w:rsidRPr="001600FC">
        <w:rPr>
          <w:rFonts w:cstheme="minorHAnsi"/>
          <w:color w:val="002060"/>
          <w:lang w:val="en-US"/>
        </w:rPr>
        <w:t xml:space="preserve">: 337-365. </w:t>
      </w:r>
      <w:proofErr w:type="spellStart"/>
      <w:r w:rsidRPr="001600FC">
        <w:rPr>
          <w:rFonts w:cstheme="minorHAnsi"/>
          <w:color w:val="002060"/>
          <w:lang w:val="en-US"/>
        </w:rPr>
        <w:t>Doi</w:t>
      </w:r>
      <w:proofErr w:type="spellEnd"/>
      <w:r w:rsidRPr="001600FC">
        <w:rPr>
          <w:rFonts w:cstheme="minorHAnsi"/>
          <w:color w:val="002060"/>
          <w:lang w:val="en-US"/>
        </w:rPr>
        <w:t xml:space="preserve">: </w:t>
      </w:r>
      <w:hyperlink r:id="rId5" w:history="1">
        <w:r w:rsidRPr="001600FC">
          <w:rPr>
            <w:rStyle w:val="Lienhypertexte"/>
            <w:rFonts w:cstheme="minorHAnsi"/>
            <w:color w:val="002060"/>
            <w:lang w:val="en-US"/>
          </w:rPr>
          <w:t>10.1146/annurev-genet-112618-043838</w:t>
        </w:r>
      </w:hyperlink>
    </w:p>
    <w:p w14:paraId="0733C9FA" w14:textId="77777777" w:rsidR="00EF3046" w:rsidRPr="001600FC" w:rsidRDefault="00EF3046" w:rsidP="00EF3046">
      <w:pPr>
        <w:rPr>
          <w:rFonts w:cstheme="minorHAnsi"/>
          <w:color w:val="002060"/>
          <w:lang w:val="en-US"/>
        </w:rPr>
      </w:pPr>
      <w:proofErr w:type="spellStart"/>
      <w:r w:rsidRPr="001600FC">
        <w:rPr>
          <w:rFonts w:cstheme="minorHAnsi"/>
          <w:color w:val="002060"/>
          <w:lang w:val="en-US"/>
        </w:rPr>
        <w:t>Mergaert</w:t>
      </w:r>
      <w:proofErr w:type="spellEnd"/>
      <w:r w:rsidRPr="001600FC">
        <w:rPr>
          <w:rFonts w:cstheme="minorHAnsi"/>
          <w:color w:val="002060"/>
          <w:lang w:val="en-US"/>
        </w:rPr>
        <w:t xml:space="preserve">, P. (2018). Role of antimicrobial peptides in controlling symbiotic bacterial populations. </w:t>
      </w:r>
      <w:r w:rsidRPr="001600FC">
        <w:rPr>
          <w:rFonts w:cstheme="minorHAnsi"/>
          <w:i/>
          <w:color w:val="002060"/>
          <w:lang w:val="en-US"/>
        </w:rPr>
        <w:t>Nat. Prod. Rep.</w:t>
      </w:r>
      <w:r w:rsidRPr="001600FC">
        <w:rPr>
          <w:rFonts w:cstheme="minorHAnsi"/>
          <w:color w:val="002060"/>
          <w:lang w:val="en-US"/>
        </w:rPr>
        <w:t xml:space="preserve"> 35, 336-356. </w:t>
      </w:r>
      <w:proofErr w:type="spellStart"/>
      <w:proofErr w:type="gramStart"/>
      <w:r w:rsidRPr="001600FC">
        <w:rPr>
          <w:rFonts w:cstheme="minorHAnsi"/>
          <w:color w:val="002060"/>
          <w:lang w:val="en-US"/>
        </w:rPr>
        <w:t>doi</w:t>
      </w:r>
      <w:proofErr w:type="spellEnd"/>
      <w:proofErr w:type="gramEnd"/>
      <w:r w:rsidRPr="001600FC">
        <w:rPr>
          <w:rFonts w:cstheme="minorHAnsi"/>
          <w:color w:val="002060"/>
          <w:lang w:val="en-US"/>
        </w:rPr>
        <w:t>: 10.1039/c7np00056a.</w:t>
      </w:r>
    </w:p>
    <w:p w14:paraId="68D83404" w14:textId="77777777" w:rsidR="00EF3046" w:rsidRPr="001600FC" w:rsidRDefault="00EF3046" w:rsidP="00EF3046">
      <w:pPr>
        <w:rPr>
          <w:rFonts w:cstheme="minorHAnsi"/>
          <w:color w:val="002060"/>
          <w:lang w:val="en-US"/>
        </w:rPr>
      </w:pPr>
      <w:proofErr w:type="spellStart"/>
      <w:r w:rsidRPr="001600FC">
        <w:rPr>
          <w:rFonts w:cstheme="minorHAnsi"/>
          <w:color w:val="002060"/>
          <w:lang w:val="en-US"/>
        </w:rPr>
        <w:t>Mergaert</w:t>
      </w:r>
      <w:proofErr w:type="spellEnd"/>
      <w:r w:rsidRPr="001600FC">
        <w:rPr>
          <w:rFonts w:cstheme="minorHAnsi"/>
          <w:color w:val="002060"/>
          <w:lang w:val="en-US"/>
        </w:rPr>
        <w:t xml:space="preserve">, P., Kikuchi, Y., Shigenobu, S., and </w:t>
      </w:r>
      <w:proofErr w:type="spellStart"/>
      <w:r w:rsidRPr="001600FC">
        <w:rPr>
          <w:rFonts w:cstheme="minorHAnsi"/>
          <w:color w:val="002060"/>
          <w:lang w:val="en-US"/>
        </w:rPr>
        <w:t>Nowack</w:t>
      </w:r>
      <w:proofErr w:type="spellEnd"/>
      <w:r w:rsidRPr="001600FC">
        <w:rPr>
          <w:rFonts w:cstheme="minorHAnsi"/>
          <w:color w:val="002060"/>
          <w:lang w:val="en-US"/>
        </w:rPr>
        <w:t xml:space="preserve">, E.C.M. (2017). Metabolic integration of bacterial endosymbionts through antimicrobial peptides. </w:t>
      </w:r>
      <w:r w:rsidRPr="001600FC">
        <w:rPr>
          <w:rFonts w:cstheme="minorHAnsi"/>
          <w:i/>
          <w:color w:val="002060"/>
          <w:lang w:val="en-US"/>
        </w:rPr>
        <w:t xml:space="preserve">Trends </w:t>
      </w:r>
      <w:proofErr w:type="spellStart"/>
      <w:r w:rsidRPr="001600FC">
        <w:rPr>
          <w:rFonts w:cstheme="minorHAnsi"/>
          <w:i/>
          <w:color w:val="002060"/>
          <w:lang w:val="en-US"/>
        </w:rPr>
        <w:t>Microbiol</w:t>
      </w:r>
      <w:proofErr w:type="spellEnd"/>
      <w:r w:rsidRPr="001600FC">
        <w:rPr>
          <w:rFonts w:cstheme="minorHAnsi"/>
          <w:i/>
          <w:color w:val="002060"/>
          <w:lang w:val="en-US"/>
        </w:rPr>
        <w:t>.</w:t>
      </w:r>
      <w:r w:rsidRPr="001600FC">
        <w:rPr>
          <w:rFonts w:cstheme="minorHAnsi"/>
          <w:color w:val="002060"/>
          <w:lang w:val="en-US"/>
        </w:rPr>
        <w:t xml:space="preserve"> </w:t>
      </w:r>
      <w:proofErr w:type="gramStart"/>
      <w:r w:rsidRPr="001600FC">
        <w:rPr>
          <w:rFonts w:cstheme="minorHAnsi"/>
          <w:color w:val="002060"/>
          <w:lang w:val="en-US"/>
        </w:rPr>
        <w:t>25</w:t>
      </w:r>
      <w:proofErr w:type="gramEnd"/>
      <w:r w:rsidRPr="001600FC">
        <w:rPr>
          <w:rFonts w:cstheme="minorHAnsi"/>
          <w:color w:val="002060"/>
          <w:lang w:val="en-US"/>
        </w:rPr>
        <w:t xml:space="preserve">, 703-712. </w:t>
      </w:r>
      <w:proofErr w:type="spellStart"/>
      <w:proofErr w:type="gramStart"/>
      <w:r w:rsidRPr="001600FC">
        <w:rPr>
          <w:rFonts w:cstheme="minorHAnsi"/>
          <w:color w:val="002060"/>
          <w:lang w:val="en-US"/>
        </w:rPr>
        <w:t>doi</w:t>
      </w:r>
      <w:proofErr w:type="spellEnd"/>
      <w:proofErr w:type="gramEnd"/>
      <w:r w:rsidRPr="001600FC">
        <w:rPr>
          <w:rFonts w:cstheme="minorHAnsi"/>
          <w:color w:val="002060"/>
          <w:lang w:val="en-US"/>
        </w:rPr>
        <w:t>: 10.1016/j.tim.2017.04.007.</w:t>
      </w:r>
    </w:p>
    <w:p w14:paraId="64F508F2" w14:textId="77777777" w:rsidR="00EF3046" w:rsidRPr="00E47B5B" w:rsidRDefault="00EF3046" w:rsidP="00E47B5B">
      <w:pPr>
        <w:pBdr>
          <w:bottom w:val="single" w:sz="4" w:space="1" w:color="auto"/>
        </w:pBdr>
        <w:spacing w:after="0" w:line="240" w:lineRule="auto"/>
        <w:rPr>
          <w:b/>
          <w:smallCaps/>
          <w:color w:val="002060"/>
          <w:lang w:val="en-US"/>
        </w:rPr>
      </w:pPr>
    </w:p>
    <w:p w14:paraId="4E74E841" w14:textId="0C758B98" w:rsidR="00E47B5B" w:rsidRPr="00E47B5B" w:rsidRDefault="001600FC" w:rsidP="00E47B5B">
      <w:pPr>
        <w:shd w:val="clear" w:color="auto" w:fill="DEEAF6" w:themeFill="accent1" w:themeFillTint="33"/>
        <w:spacing w:after="0" w:line="240" w:lineRule="auto"/>
        <w:jc w:val="center"/>
        <w:rPr>
          <w:b/>
          <w:smallCaps/>
          <w:color w:val="002060"/>
          <w:lang w:val="en-US"/>
        </w:rPr>
      </w:pPr>
      <w:r>
        <w:rPr>
          <w:b/>
          <w:smallCaps/>
          <w:color w:val="002060"/>
          <w:lang w:val="en-US"/>
        </w:rPr>
        <w:t xml:space="preserve">Other </w:t>
      </w:r>
      <w:r w:rsidR="006F4973">
        <w:rPr>
          <w:b/>
          <w:smallCaps/>
          <w:color w:val="002060"/>
          <w:lang w:val="en-US"/>
        </w:rPr>
        <w:t>s</w:t>
      </w:r>
      <w:r w:rsidR="00EF3046">
        <w:rPr>
          <w:b/>
          <w:smallCaps/>
          <w:color w:val="002060"/>
          <w:lang w:val="en-US"/>
        </w:rPr>
        <w:t>elected publications of the team</w:t>
      </w:r>
    </w:p>
    <w:p w14:paraId="5DB868A4" w14:textId="77777777" w:rsidR="009362D6" w:rsidRPr="00EF3046" w:rsidRDefault="009362D6" w:rsidP="00E47B5B">
      <w:pPr>
        <w:spacing w:after="0" w:line="240" w:lineRule="auto"/>
        <w:rPr>
          <w:u w:val="single"/>
          <w:lang w:val="en-US"/>
        </w:rPr>
      </w:pPr>
    </w:p>
    <w:p w14:paraId="50F6F279" w14:textId="10E42044" w:rsidR="00E47B5B" w:rsidRPr="006F4973" w:rsidRDefault="001600FC" w:rsidP="001600FC">
      <w:pPr>
        <w:rPr>
          <w:rFonts w:cstheme="minorHAnsi"/>
          <w:color w:val="002060"/>
          <w:lang w:val="en-US"/>
        </w:rPr>
      </w:pPr>
      <w:proofErr w:type="spellStart"/>
      <w:r w:rsidRPr="006F4973">
        <w:rPr>
          <w:rFonts w:cstheme="minorHAnsi"/>
          <w:color w:val="002060"/>
          <w:lang w:val="en-US"/>
        </w:rPr>
        <w:t>Travin</w:t>
      </w:r>
      <w:proofErr w:type="spellEnd"/>
      <w:r w:rsidRPr="006F4973">
        <w:rPr>
          <w:rFonts w:cstheme="minorHAnsi"/>
          <w:color w:val="002060"/>
          <w:lang w:val="en-US"/>
        </w:rPr>
        <w:t xml:space="preserve">, D.Y., </w:t>
      </w:r>
      <w:proofErr w:type="spellStart"/>
      <w:r w:rsidRPr="006F4973">
        <w:rPr>
          <w:rFonts w:cstheme="minorHAnsi"/>
          <w:color w:val="002060"/>
          <w:lang w:val="en-US"/>
        </w:rPr>
        <w:t>Jouan</w:t>
      </w:r>
      <w:proofErr w:type="spellEnd"/>
      <w:r w:rsidRPr="006F4973">
        <w:rPr>
          <w:rFonts w:cstheme="minorHAnsi"/>
          <w:color w:val="002060"/>
          <w:lang w:val="en-US"/>
        </w:rPr>
        <w:t xml:space="preserve">, R., </w:t>
      </w:r>
      <w:proofErr w:type="spellStart"/>
      <w:r w:rsidRPr="006F4973">
        <w:rPr>
          <w:rFonts w:cstheme="minorHAnsi"/>
          <w:color w:val="002060"/>
          <w:lang w:val="en-US"/>
        </w:rPr>
        <w:t>Vigouroux</w:t>
      </w:r>
      <w:proofErr w:type="spellEnd"/>
      <w:r w:rsidRPr="006F4973">
        <w:rPr>
          <w:rFonts w:cstheme="minorHAnsi"/>
          <w:color w:val="002060"/>
          <w:lang w:val="en-US"/>
        </w:rPr>
        <w:t xml:space="preserve">, A., </w:t>
      </w:r>
      <w:proofErr w:type="spellStart"/>
      <w:r w:rsidRPr="006F4973">
        <w:rPr>
          <w:rFonts w:cstheme="minorHAnsi"/>
          <w:color w:val="002060"/>
          <w:lang w:val="en-US"/>
        </w:rPr>
        <w:t>Inaba</w:t>
      </w:r>
      <w:proofErr w:type="spellEnd"/>
      <w:r w:rsidRPr="006F4973">
        <w:rPr>
          <w:rFonts w:cstheme="minorHAnsi"/>
          <w:color w:val="002060"/>
          <w:lang w:val="en-US"/>
        </w:rPr>
        <w:t xml:space="preserve">-Inoue, S., </w:t>
      </w:r>
      <w:proofErr w:type="spellStart"/>
      <w:r w:rsidRPr="006F4973">
        <w:rPr>
          <w:rFonts w:cstheme="minorHAnsi"/>
          <w:color w:val="002060"/>
          <w:lang w:val="en-US"/>
        </w:rPr>
        <w:t>Lachat</w:t>
      </w:r>
      <w:proofErr w:type="spellEnd"/>
      <w:r w:rsidRPr="006F4973">
        <w:rPr>
          <w:rFonts w:cstheme="minorHAnsi"/>
          <w:color w:val="002060"/>
          <w:lang w:val="en-US"/>
        </w:rPr>
        <w:t xml:space="preserve">, J., </w:t>
      </w:r>
      <w:proofErr w:type="spellStart"/>
      <w:r w:rsidRPr="006F4973">
        <w:rPr>
          <w:rFonts w:cstheme="minorHAnsi"/>
          <w:color w:val="002060"/>
          <w:lang w:val="en-US"/>
        </w:rPr>
        <w:t>Haq</w:t>
      </w:r>
      <w:proofErr w:type="spellEnd"/>
      <w:r w:rsidRPr="006F4973">
        <w:rPr>
          <w:rFonts w:cstheme="minorHAnsi"/>
          <w:color w:val="002060"/>
          <w:lang w:val="en-US"/>
        </w:rPr>
        <w:t xml:space="preserve">, F., </w:t>
      </w:r>
      <w:proofErr w:type="spellStart"/>
      <w:r w:rsidRPr="006F4973">
        <w:rPr>
          <w:rFonts w:cstheme="minorHAnsi"/>
          <w:color w:val="002060"/>
          <w:lang w:val="en-US"/>
        </w:rPr>
        <w:t>Timchenko</w:t>
      </w:r>
      <w:proofErr w:type="spellEnd"/>
      <w:r w:rsidRPr="006F4973">
        <w:rPr>
          <w:rFonts w:cstheme="minorHAnsi"/>
          <w:color w:val="002060"/>
          <w:lang w:val="en-US"/>
        </w:rPr>
        <w:t xml:space="preserve">, T., </w:t>
      </w:r>
      <w:proofErr w:type="spellStart"/>
      <w:r w:rsidRPr="006F4973">
        <w:rPr>
          <w:rFonts w:cstheme="minorHAnsi"/>
          <w:color w:val="002060"/>
          <w:lang w:val="en-US"/>
        </w:rPr>
        <w:t>Sutormin</w:t>
      </w:r>
      <w:proofErr w:type="spellEnd"/>
      <w:r w:rsidRPr="006F4973">
        <w:rPr>
          <w:rFonts w:cstheme="minorHAnsi"/>
          <w:color w:val="002060"/>
          <w:lang w:val="en-US"/>
        </w:rPr>
        <w:t xml:space="preserve">, D., </w:t>
      </w:r>
      <w:proofErr w:type="spellStart"/>
      <w:r w:rsidRPr="006F4973">
        <w:rPr>
          <w:rFonts w:cstheme="minorHAnsi"/>
          <w:color w:val="002060"/>
          <w:lang w:val="en-US"/>
        </w:rPr>
        <w:t>Dubiley</w:t>
      </w:r>
      <w:proofErr w:type="spellEnd"/>
      <w:r w:rsidRPr="006F4973">
        <w:rPr>
          <w:rFonts w:cstheme="minorHAnsi"/>
          <w:color w:val="002060"/>
          <w:lang w:val="en-US"/>
        </w:rPr>
        <w:t xml:space="preserve">, S., </w:t>
      </w:r>
      <w:proofErr w:type="spellStart"/>
      <w:r w:rsidRPr="006F4973">
        <w:rPr>
          <w:rFonts w:cstheme="minorHAnsi"/>
          <w:color w:val="002060"/>
          <w:lang w:val="en-US"/>
        </w:rPr>
        <w:t>Beis</w:t>
      </w:r>
      <w:proofErr w:type="spellEnd"/>
      <w:r w:rsidRPr="006F4973">
        <w:rPr>
          <w:rFonts w:cstheme="minorHAnsi"/>
          <w:color w:val="002060"/>
          <w:lang w:val="en-US"/>
        </w:rPr>
        <w:t xml:space="preserve">, K., </w:t>
      </w:r>
      <w:proofErr w:type="spellStart"/>
      <w:r w:rsidRPr="006F4973">
        <w:rPr>
          <w:rFonts w:cstheme="minorHAnsi"/>
          <w:color w:val="002060"/>
          <w:lang w:val="en-US"/>
        </w:rPr>
        <w:t>Moréra</w:t>
      </w:r>
      <w:proofErr w:type="spellEnd"/>
      <w:r w:rsidRPr="006F4973">
        <w:rPr>
          <w:rFonts w:cstheme="minorHAnsi"/>
          <w:color w:val="002060"/>
          <w:lang w:val="en-US"/>
        </w:rPr>
        <w:t xml:space="preserve">, S., </w:t>
      </w:r>
      <w:proofErr w:type="spellStart"/>
      <w:r w:rsidRPr="006F4973">
        <w:rPr>
          <w:rFonts w:cstheme="minorHAnsi"/>
          <w:color w:val="002060"/>
          <w:lang w:val="en-US"/>
        </w:rPr>
        <w:t>Severinov</w:t>
      </w:r>
      <w:proofErr w:type="spellEnd"/>
      <w:r w:rsidRPr="006F4973">
        <w:rPr>
          <w:rFonts w:cstheme="minorHAnsi"/>
          <w:color w:val="002060"/>
          <w:lang w:val="en-US"/>
        </w:rPr>
        <w:t xml:space="preserve">, K., and </w:t>
      </w:r>
      <w:proofErr w:type="spellStart"/>
      <w:r w:rsidRPr="006F4973">
        <w:rPr>
          <w:rFonts w:cstheme="minorHAnsi"/>
          <w:color w:val="002060"/>
          <w:lang w:val="en-US"/>
        </w:rPr>
        <w:t>Mergaert</w:t>
      </w:r>
      <w:proofErr w:type="spellEnd"/>
      <w:r w:rsidRPr="006F4973">
        <w:rPr>
          <w:rFonts w:cstheme="minorHAnsi"/>
          <w:color w:val="002060"/>
          <w:lang w:val="en-US"/>
        </w:rPr>
        <w:t xml:space="preserve">, P. (2023). A dual uptake mode of the antibiotic </w:t>
      </w:r>
      <w:proofErr w:type="spellStart"/>
      <w:r w:rsidRPr="006F4973">
        <w:rPr>
          <w:rFonts w:cstheme="minorHAnsi"/>
          <w:color w:val="002060"/>
          <w:lang w:val="en-US"/>
        </w:rPr>
        <w:t>phazolicin</w:t>
      </w:r>
      <w:proofErr w:type="spellEnd"/>
      <w:r w:rsidRPr="006F4973">
        <w:rPr>
          <w:rFonts w:cstheme="minorHAnsi"/>
          <w:color w:val="002060"/>
          <w:lang w:val="en-US"/>
        </w:rPr>
        <w:t xml:space="preserve"> by Gram-negative bacteria prevents resistance acquisition. </w:t>
      </w:r>
      <w:proofErr w:type="spellStart"/>
      <w:proofErr w:type="gramStart"/>
      <w:r w:rsidRPr="006F4973">
        <w:rPr>
          <w:rFonts w:cstheme="minorHAnsi"/>
          <w:i/>
          <w:color w:val="002060"/>
          <w:lang w:val="en-US"/>
        </w:rPr>
        <w:t>mBio</w:t>
      </w:r>
      <w:proofErr w:type="spellEnd"/>
      <w:proofErr w:type="gramEnd"/>
      <w:r w:rsidRPr="006F4973">
        <w:rPr>
          <w:rFonts w:cstheme="minorHAnsi"/>
          <w:color w:val="002060"/>
          <w:lang w:val="en-US"/>
        </w:rPr>
        <w:t xml:space="preserve"> 14, e00217-23. </w:t>
      </w:r>
      <w:proofErr w:type="spellStart"/>
      <w:proofErr w:type="gramStart"/>
      <w:r w:rsidRPr="006F4973">
        <w:rPr>
          <w:rFonts w:cstheme="minorHAnsi"/>
          <w:color w:val="002060"/>
          <w:lang w:val="en-US"/>
        </w:rPr>
        <w:t>doi</w:t>
      </w:r>
      <w:proofErr w:type="spellEnd"/>
      <w:proofErr w:type="gramEnd"/>
      <w:r w:rsidRPr="006F4973">
        <w:rPr>
          <w:rFonts w:cstheme="minorHAnsi"/>
          <w:color w:val="002060"/>
          <w:lang w:val="en-US"/>
        </w:rPr>
        <w:t>: 10.1128/mbio.00217-23.</w:t>
      </w:r>
    </w:p>
    <w:p w14:paraId="3A89798D" w14:textId="0A92D97D" w:rsidR="001600FC" w:rsidRPr="006F4973" w:rsidRDefault="001600FC" w:rsidP="001600FC">
      <w:pPr>
        <w:rPr>
          <w:rFonts w:cstheme="minorHAnsi"/>
          <w:color w:val="002060"/>
          <w:lang w:val="en-US"/>
        </w:rPr>
      </w:pPr>
      <w:proofErr w:type="spellStart"/>
      <w:proofErr w:type="gramStart"/>
      <w:r w:rsidRPr="006F4973">
        <w:rPr>
          <w:rFonts w:cstheme="minorHAnsi"/>
          <w:color w:val="002060"/>
          <w:lang w:val="en-US"/>
        </w:rPr>
        <w:t>diCenzo</w:t>
      </w:r>
      <w:proofErr w:type="spellEnd"/>
      <w:proofErr w:type="gramEnd"/>
      <w:r w:rsidRPr="006F4973">
        <w:rPr>
          <w:rFonts w:cstheme="minorHAnsi"/>
          <w:color w:val="002060"/>
          <w:lang w:val="en-US"/>
        </w:rPr>
        <w:t xml:space="preserve">, G., </w:t>
      </w:r>
      <w:proofErr w:type="spellStart"/>
      <w:r w:rsidRPr="006F4973">
        <w:rPr>
          <w:rFonts w:cstheme="minorHAnsi"/>
          <w:color w:val="002060"/>
          <w:lang w:val="en-US"/>
        </w:rPr>
        <w:t>Cangioli</w:t>
      </w:r>
      <w:proofErr w:type="spellEnd"/>
      <w:r w:rsidRPr="006F4973">
        <w:rPr>
          <w:rFonts w:cstheme="minorHAnsi"/>
          <w:color w:val="002060"/>
          <w:lang w:val="en-US"/>
        </w:rPr>
        <w:t xml:space="preserve">, L., </w:t>
      </w:r>
      <w:proofErr w:type="spellStart"/>
      <w:r w:rsidRPr="006F4973">
        <w:rPr>
          <w:rFonts w:cstheme="minorHAnsi"/>
          <w:color w:val="002060"/>
          <w:lang w:val="en-US"/>
        </w:rPr>
        <w:t>Nicoud</w:t>
      </w:r>
      <w:proofErr w:type="spellEnd"/>
      <w:r w:rsidRPr="006F4973">
        <w:rPr>
          <w:rFonts w:cstheme="minorHAnsi"/>
          <w:color w:val="002060"/>
          <w:lang w:val="en-US"/>
        </w:rPr>
        <w:t xml:space="preserve">, Q., Cheng, J.H.T., Blow, M.J., Shapiro, N., </w:t>
      </w:r>
      <w:proofErr w:type="spellStart"/>
      <w:r w:rsidRPr="006F4973">
        <w:rPr>
          <w:rFonts w:cstheme="minorHAnsi"/>
          <w:color w:val="002060"/>
          <w:lang w:val="en-US"/>
        </w:rPr>
        <w:t>Woyke</w:t>
      </w:r>
      <w:proofErr w:type="spellEnd"/>
      <w:r w:rsidRPr="006F4973">
        <w:rPr>
          <w:rFonts w:cstheme="minorHAnsi"/>
          <w:color w:val="002060"/>
          <w:lang w:val="en-US"/>
        </w:rPr>
        <w:t xml:space="preserve">, T., </w:t>
      </w:r>
      <w:proofErr w:type="spellStart"/>
      <w:r w:rsidRPr="006F4973">
        <w:rPr>
          <w:rFonts w:cstheme="minorHAnsi"/>
          <w:color w:val="002060"/>
          <w:lang w:val="en-US"/>
        </w:rPr>
        <w:t>Biondi</w:t>
      </w:r>
      <w:proofErr w:type="spellEnd"/>
      <w:r w:rsidRPr="006F4973">
        <w:rPr>
          <w:rFonts w:cstheme="minorHAnsi"/>
          <w:color w:val="002060"/>
          <w:lang w:val="en-US"/>
        </w:rPr>
        <w:t xml:space="preserve">, E.G., </w:t>
      </w:r>
      <w:proofErr w:type="spellStart"/>
      <w:r w:rsidRPr="006F4973">
        <w:rPr>
          <w:rFonts w:cstheme="minorHAnsi"/>
          <w:color w:val="002060"/>
          <w:lang w:val="en-US"/>
        </w:rPr>
        <w:t>Alunni</w:t>
      </w:r>
      <w:proofErr w:type="spellEnd"/>
      <w:r w:rsidRPr="006F4973">
        <w:rPr>
          <w:rFonts w:cstheme="minorHAnsi"/>
          <w:color w:val="002060"/>
          <w:lang w:val="en-US"/>
        </w:rPr>
        <w:t xml:space="preserve">, B., </w:t>
      </w:r>
      <w:proofErr w:type="spellStart"/>
      <w:r w:rsidRPr="006F4973">
        <w:rPr>
          <w:rFonts w:cstheme="minorHAnsi"/>
          <w:color w:val="002060"/>
          <w:lang w:val="en-US"/>
        </w:rPr>
        <w:t>Mengoni</w:t>
      </w:r>
      <w:proofErr w:type="spellEnd"/>
      <w:r w:rsidRPr="006F4973">
        <w:rPr>
          <w:rFonts w:cstheme="minorHAnsi"/>
          <w:color w:val="002060"/>
          <w:lang w:val="en-US"/>
        </w:rPr>
        <w:t xml:space="preserve">, A., and </w:t>
      </w:r>
      <w:proofErr w:type="spellStart"/>
      <w:r w:rsidRPr="006F4973">
        <w:rPr>
          <w:rFonts w:cstheme="minorHAnsi"/>
          <w:color w:val="002060"/>
          <w:lang w:val="en-US"/>
        </w:rPr>
        <w:t>Mergaert</w:t>
      </w:r>
      <w:proofErr w:type="spellEnd"/>
      <w:r w:rsidRPr="006F4973">
        <w:rPr>
          <w:rFonts w:cstheme="minorHAnsi"/>
          <w:color w:val="002060"/>
          <w:lang w:val="en-US"/>
        </w:rPr>
        <w:t xml:space="preserve">, P. (2022). DNA methylation patterns in bacteria of the genus </w:t>
      </w:r>
      <w:proofErr w:type="spellStart"/>
      <w:r w:rsidRPr="006F4973">
        <w:rPr>
          <w:rFonts w:cstheme="minorHAnsi"/>
          <w:i/>
          <w:color w:val="002060"/>
          <w:lang w:val="en-US"/>
        </w:rPr>
        <w:t>Ensifer</w:t>
      </w:r>
      <w:proofErr w:type="spellEnd"/>
      <w:r w:rsidRPr="006F4973">
        <w:rPr>
          <w:rFonts w:cstheme="minorHAnsi"/>
          <w:color w:val="002060"/>
          <w:lang w:val="en-US"/>
        </w:rPr>
        <w:t xml:space="preserve"> during free-living growth and during nitrogen-fixing symbiosis with </w:t>
      </w:r>
      <w:proofErr w:type="spellStart"/>
      <w:r w:rsidRPr="006F4973">
        <w:rPr>
          <w:rFonts w:cstheme="minorHAnsi"/>
          <w:i/>
          <w:color w:val="002060"/>
          <w:lang w:val="en-US"/>
        </w:rPr>
        <w:t>Medicago</w:t>
      </w:r>
      <w:proofErr w:type="spellEnd"/>
      <w:r w:rsidRPr="006F4973">
        <w:rPr>
          <w:rFonts w:cstheme="minorHAnsi"/>
          <w:color w:val="002060"/>
          <w:lang w:val="en-US"/>
        </w:rPr>
        <w:t xml:space="preserve"> spp. </w:t>
      </w:r>
      <w:proofErr w:type="spellStart"/>
      <w:r w:rsidRPr="006F4973">
        <w:rPr>
          <w:rFonts w:cstheme="minorHAnsi"/>
          <w:i/>
          <w:color w:val="002060"/>
          <w:lang w:val="en-US"/>
        </w:rPr>
        <w:t>mSystems</w:t>
      </w:r>
      <w:proofErr w:type="spellEnd"/>
      <w:r w:rsidRPr="006F4973">
        <w:rPr>
          <w:rFonts w:cstheme="minorHAnsi"/>
          <w:color w:val="002060"/>
          <w:lang w:val="en-US"/>
        </w:rPr>
        <w:t xml:space="preserve"> 7, e01092-21. </w:t>
      </w:r>
      <w:proofErr w:type="spellStart"/>
      <w:proofErr w:type="gramStart"/>
      <w:r w:rsidRPr="006F4973">
        <w:rPr>
          <w:rFonts w:cstheme="minorHAnsi"/>
          <w:color w:val="002060"/>
          <w:lang w:val="en-US"/>
        </w:rPr>
        <w:t>doi</w:t>
      </w:r>
      <w:proofErr w:type="spellEnd"/>
      <w:proofErr w:type="gramEnd"/>
      <w:r w:rsidRPr="006F4973">
        <w:rPr>
          <w:rFonts w:cstheme="minorHAnsi"/>
          <w:color w:val="002060"/>
          <w:lang w:val="en-US"/>
        </w:rPr>
        <w:t>: 10.1128/mSystems.01092-21.</w:t>
      </w:r>
    </w:p>
    <w:p w14:paraId="3EAE429D" w14:textId="624B92FD" w:rsidR="001600FC" w:rsidRPr="006F4973" w:rsidRDefault="001600FC" w:rsidP="001600FC">
      <w:pPr>
        <w:rPr>
          <w:rFonts w:cstheme="minorHAnsi"/>
          <w:color w:val="002060"/>
          <w:lang w:val="en-US"/>
        </w:rPr>
      </w:pPr>
      <w:proofErr w:type="spellStart"/>
      <w:r w:rsidRPr="006F4973">
        <w:rPr>
          <w:rFonts w:cstheme="minorHAnsi"/>
          <w:color w:val="002060"/>
          <w:lang w:val="en-US"/>
        </w:rPr>
        <w:t>Nicoud</w:t>
      </w:r>
      <w:proofErr w:type="spellEnd"/>
      <w:r w:rsidRPr="006F4973">
        <w:rPr>
          <w:rFonts w:cstheme="minorHAnsi"/>
          <w:color w:val="002060"/>
          <w:lang w:val="en-US"/>
        </w:rPr>
        <w:t xml:space="preserve">, Q., </w:t>
      </w:r>
      <w:proofErr w:type="spellStart"/>
      <w:r w:rsidRPr="006F4973">
        <w:rPr>
          <w:rFonts w:cstheme="minorHAnsi"/>
          <w:color w:val="002060"/>
          <w:lang w:val="en-US"/>
        </w:rPr>
        <w:t>Barrière</w:t>
      </w:r>
      <w:proofErr w:type="spellEnd"/>
      <w:r w:rsidRPr="006F4973">
        <w:rPr>
          <w:rFonts w:cstheme="minorHAnsi"/>
          <w:color w:val="002060"/>
          <w:lang w:val="en-US"/>
        </w:rPr>
        <w:t xml:space="preserve">, Q., </w:t>
      </w:r>
      <w:proofErr w:type="spellStart"/>
      <w:r w:rsidRPr="006F4973">
        <w:rPr>
          <w:rFonts w:cstheme="minorHAnsi"/>
          <w:color w:val="002060"/>
          <w:lang w:val="en-US"/>
        </w:rPr>
        <w:t>Busset</w:t>
      </w:r>
      <w:proofErr w:type="spellEnd"/>
      <w:r w:rsidRPr="006F4973">
        <w:rPr>
          <w:rFonts w:cstheme="minorHAnsi"/>
          <w:color w:val="002060"/>
          <w:lang w:val="en-US"/>
        </w:rPr>
        <w:t xml:space="preserve">, N., </w:t>
      </w:r>
      <w:proofErr w:type="spellStart"/>
      <w:r w:rsidRPr="006F4973">
        <w:rPr>
          <w:rFonts w:cstheme="minorHAnsi"/>
          <w:color w:val="002060"/>
          <w:lang w:val="en-US"/>
        </w:rPr>
        <w:t>Dendene</w:t>
      </w:r>
      <w:proofErr w:type="spellEnd"/>
      <w:r w:rsidRPr="006F4973">
        <w:rPr>
          <w:rFonts w:cstheme="minorHAnsi"/>
          <w:color w:val="002060"/>
          <w:lang w:val="en-US"/>
        </w:rPr>
        <w:t xml:space="preserve">, S., </w:t>
      </w:r>
      <w:proofErr w:type="spellStart"/>
      <w:r w:rsidRPr="006F4973">
        <w:rPr>
          <w:rFonts w:cstheme="minorHAnsi"/>
          <w:color w:val="002060"/>
          <w:lang w:val="en-US"/>
        </w:rPr>
        <w:t>Travin</w:t>
      </w:r>
      <w:proofErr w:type="spellEnd"/>
      <w:r w:rsidRPr="006F4973">
        <w:rPr>
          <w:rFonts w:cstheme="minorHAnsi"/>
          <w:color w:val="002060"/>
          <w:lang w:val="en-US"/>
        </w:rPr>
        <w:t xml:space="preserve">, D., </w:t>
      </w:r>
      <w:proofErr w:type="spellStart"/>
      <w:r w:rsidRPr="006F4973">
        <w:rPr>
          <w:rFonts w:cstheme="minorHAnsi"/>
          <w:color w:val="002060"/>
          <w:lang w:val="en-US"/>
        </w:rPr>
        <w:t>Bourge</w:t>
      </w:r>
      <w:proofErr w:type="spellEnd"/>
      <w:r w:rsidRPr="006F4973">
        <w:rPr>
          <w:rFonts w:cstheme="minorHAnsi"/>
          <w:color w:val="002060"/>
          <w:lang w:val="en-US"/>
        </w:rPr>
        <w:t xml:space="preserve">, M., Le Bars, R., Boulogne, C., </w:t>
      </w:r>
      <w:proofErr w:type="spellStart"/>
      <w:r w:rsidRPr="006F4973">
        <w:rPr>
          <w:rFonts w:cstheme="minorHAnsi"/>
          <w:color w:val="002060"/>
          <w:lang w:val="en-US"/>
        </w:rPr>
        <w:t>Lecroël</w:t>
      </w:r>
      <w:proofErr w:type="spellEnd"/>
      <w:r w:rsidRPr="006F4973">
        <w:rPr>
          <w:rFonts w:cstheme="minorHAnsi"/>
          <w:color w:val="002060"/>
          <w:lang w:val="en-US"/>
        </w:rPr>
        <w:t xml:space="preserve">, M., </w:t>
      </w:r>
      <w:proofErr w:type="spellStart"/>
      <w:r w:rsidRPr="006F4973">
        <w:rPr>
          <w:rFonts w:cstheme="minorHAnsi"/>
          <w:color w:val="002060"/>
          <w:lang w:val="en-US"/>
        </w:rPr>
        <w:t>Jenei</w:t>
      </w:r>
      <w:proofErr w:type="spellEnd"/>
      <w:r w:rsidRPr="006F4973">
        <w:rPr>
          <w:rFonts w:cstheme="minorHAnsi"/>
          <w:color w:val="002060"/>
          <w:lang w:val="en-US"/>
        </w:rPr>
        <w:t xml:space="preserve">, S., </w:t>
      </w:r>
      <w:proofErr w:type="spellStart"/>
      <w:r w:rsidRPr="006F4973">
        <w:rPr>
          <w:rFonts w:cstheme="minorHAnsi"/>
          <w:color w:val="002060"/>
          <w:lang w:val="en-US"/>
        </w:rPr>
        <w:t>Kereszt</w:t>
      </w:r>
      <w:proofErr w:type="spellEnd"/>
      <w:r w:rsidRPr="006F4973">
        <w:rPr>
          <w:rFonts w:cstheme="minorHAnsi"/>
          <w:color w:val="002060"/>
          <w:lang w:val="en-US"/>
        </w:rPr>
        <w:t xml:space="preserve">, A., </w:t>
      </w:r>
      <w:proofErr w:type="spellStart"/>
      <w:r w:rsidRPr="006F4973">
        <w:rPr>
          <w:rFonts w:cstheme="minorHAnsi"/>
          <w:color w:val="002060"/>
          <w:lang w:val="en-US"/>
        </w:rPr>
        <w:t>Kondorosi</w:t>
      </w:r>
      <w:proofErr w:type="spellEnd"/>
      <w:r w:rsidRPr="006F4973">
        <w:rPr>
          <w:rFonts w:cstheme="minorHAnsi"/>
          <w:color w:val="002060"/>
          <w:lang w:val="en-US"/>
        </w:rPr>
        <w:t xml:space="preserve">, E., </w:t>
      </w:r>
      <w:proofErr w:type="spellStart"/>
      <w:r w:rsidRPr="006F4973">
        <w:rPr>
          <w:rFonts w:cstheme="minorHAnsi"/>
          <w:color w:val="002060"/>
          <w:lang w:val="en-US"/>
        </w:rPr>
        <w:t>Biondi</w:t>
      </w:r>
      <w:proofErr w:type="spellEnd"/>
      <w:r w:rsidRPr="006F4973">
        <w:rPr>
          <w:rFonts w:cstheme="minorHAnsi"/>
          <w:color w:val="002060"/>
          <w:lang w:val="en-US"/>
        </w:rPr>
        <w:t xml:space="preserve">, E.G., </w:t>
      </w:r>
      <w:proofErr w:type="spellStart"/>
      <w:r w:rsidRPr="006F4973">
        <w:rPr>
          <w:rFonts w:cstheme="minorHAnsi"/>
          <w:color w:val="002060"/>
          <w:lang w:val="en-US"/>
        </w:rPr>
        <w:t>Timtchenko</w:t>
      </w:r>
      <w:proofErr w:type="spellEnd"/>
      <w:r w:rsidRPr="006F4973">
        <w:rPr>
          <w:rFonts w:cstheme="minorHAnsi"/>
          <w:color w:val="002060"/>
          <w:lang w:val="en-US"/>
        </w:rPr>
        <w:t xml:space="preserve">, T., </w:t>
      </w:r>
      <w:proofErr w:type="spellStart"/>
      <w:r w:rsidRPr="006F4973">
        <w:rPr>
          <w:rFonts w:cstheme="minorHAnsi"/>
          <w:color w:val="002060"/>
          <w:lang w:val="en-US"/>
        </w:rPr>
        <w:t>Alunni</w:t>
      </w:r>
      <w:proofErr w:type="spellEnd"/>
      <w:r w:rsidRPr="006F4973">
        <w:rPr>
          <w:rFonts w:cstheme="minorHAnsi"/>
          <w:color w:val="002060"/>
          <w:lang w:val="en-US"/>
        </w:rPr>
        <w:t xml:space="preserve">, B., and </w:t>
      </w:r>
      <w:proofErr w:type="spellStart"/>
      <w:r w:rsidRPr="006F4973">
        <w:rPr>
          <w:rFonts w:cstheme="minorHAnsi"/>
          <w:color w:val="002060"/>
          <w:lang w:val="en-US"/>
        </w:rPr>
        <w:t>Mergaert</w:t>
      </w:r>
      <w:proofErr w:type="spellEnd"/>
      <w:r w:rsidRPr="006F4973">
        <w:rPr>
          <w:rFonts w:cstheme="minorHAnsi"/>
          <w:color w:val="002060"/>
          <w:lang w:val="en-US"/>
        </w:rPr>
        <w:t xml:space="preserve">, P. (2021). </w:t>
      </w:r>
      <w:proofErr w:type="spellStart"/>
      <w:r w:rsidRPr="006F4973">
        <w:rPr>
          <w:rFonts w:cstheme="minorHAnsi"/>
          <w:i/>
          <w:color w:val="002060"/>
          <w:lang w:val="en-US"/>
        </w:rPr>
        <w:t>Sinorhizobium</w:t>
      </w:r>
      <w:proofErr w:type="spellEnd"/>
      <w:r w:rsidRPr="006F4973">
        <w:rPr>
          <w:rFonts w:cstheme="minorHAnsi"/>
          <w:i/>
          <w:color w:val="002060"/>
          <w:lang w:val="en-US"/>
        </w:rPr>
        <w:t xml:space="preserve"> </w:t>
      </w:r>
      <w:proofErr w:type="spellStart"/>
      <w:r w:rsidRPr="006F4973">
        <w:rPr>
          <w:rFonts w:cstheme="minorHAnsi"/>
          <w:i/>
          <w:color w:val="002060"/>
          <w:lang w:val="en-US"/>
        </w:rPr>
        <w:t>meliloti</w:t>
      </w:r>
      <w:proofErr w:type="spellEnd"/>
      <w:r w:rsidRPr="006F4973">
        <w:rPr>
          <w:rFonts w:cstheme="minorHAnsi"/>
          <w:color w:val="002060"/>
          <w:lang w:val="en-US"/>
        </w:rPr>
        <w:t xml:space="preserve"> functions required for resistance to the antimicrobial NCR peptides and </w:t>
      </w:r>
      <w:proofErr w:type="spellStart"/>
      <w:r w:rsidRPr="006F4973">
        <w:rPr>
          <w:rFonts w:cstheme="minorHAnsi"/>
          <w:color w:val="002060"/>
          <w:lang w:val="en-US"/>
        </w:rPr>
        <w:t>bacteroid</w:t>
      </w:r>
      <w:proofErr w:type="spellEnd"/>
      <w:r w:rsidRPr="006F4973">
        <w:rPr>
          <w:rFonts w:cstheme="minorHAnsi"/>
          <w:color w:val="002060"/>
          <w:lang w:val="en-US"/>
        </w:rPr>
        <w:t xml:space="preserve"> differentiation. </w:t>
      </w:r>
      <w:proofErr w:type="spellStart"/>
      <w:proofErr w:type="gramStart"/>
      <w:r w:rsidRPr="006F4973">
        <w:rPr>
          <w:rFonts w:cstheme="minorHAnsi"/>
          <w:i/>
          <w:color w:val="002060"/>
          <w:lang w:val="en-US"/>
        </w:rPr>
        <w:t>mBio</w:t>
      </w:r>
      <w:proofErr w:type="spellEnd"/>
      <w:proofErr w:type="gramEnd"/>
      <w:r w:rsidRPr="006F4973">
        <w:rPr>
          <w:rFonts w:cstheme="minorHAnsi"/>
          <w:color w:val="002060"/>
          <w:lang w:val="en-US"/>
        </w:rPr>
        <w:t xml:space="preserve"> 12, e00895-21. </w:t>
      </w:r>
      <w:proofErr w:type="spellStart"/>
      <w:proofErr w:type="gramStart"/>
      <w:r w:rsidRPr="006F4973">
        <w:rPr>
          <w:rFonts w:cstheme="minorHAnsi"/>
          <w:color w:val="002060"/>
          <w:lang w:val="en-US"/>
        </w:rPr>
        <w:t>doi</w:t>
      </w:r>
      <w:proofErr w:type="spellEnd"/>
      <w:proofErr w:type="gramEnd"/>
      <w:r w:rsidRPr="006F4973">
        <w:rPr>
          <w:rFonts w:cstheme="minorHAnsi"/>
          <w:color w:val="002060"/>
          <w:lang w:val="en-US"/>
        </w:rPr>
        <w:t>: 10.1128/mBio.00895-21.</w:t>
      </w:r>
    </w:p>
    <w:p w14:paraId="0852F158" w14:textId="734262EF" w:rsidR="001600FC" w:rsidRPr="006F4973" w:rsidRDefault="001600FC" w:rsidP="001600FC">
      <w:pPr>
        <w:rPr>
          <w:rFonts w:cstheme="minorHAnsi"/>
          <w:color w:val="002060"/>
        </w:rPr>
      </w:pPr>
      <w:r w:rsidRPr="006F4973">
        <w:rPr>
          <w:rFonts w:cstheme="minorHAnsi"/>
          <w:color w:val="002060"/>
          <w:lang w:val="en-US"/>
        </w:rPr>
        <w:t xml:space="preserve">Jang, S., </w:t>
      </w:r>
      <w:proofErr w:type="spellStart"/>
      <w:r w:rsidRPr="006F4973">
        <w:rPr>
          <w:rFonts w:cstheme="minorHAnsi"/>
          <w:color w:val="002060"/>
          <w:lang w:val="en-US"/>
        </w:rPr>
        <w:t>Mergaert</w:t>
      </w:r>
      <w:proofErr w:type="spellEnd"/>
      <w:r w:rsidRPr="006F4973">
        <w:rPr>
          <w:rFonts w:cstheme="minorHAnsi"/>
          <w:color w:val="002060"/>
          <w:lang w:val="en-US"/>
        </w:rPr>
        <w:t xml:space="preserve">*, P., </w:t>
      </w:r>
      <w:proofErr w:type="spellStart"/>
      <w:r w:rsidRPr="006F4973">
        <w:rPr>
          <w:rFonts w:cstheme="minorHAnsi"/>
          <w:color w:val="002060"/>
          <w:lang w:val="en-US"/>
        </w:rPr>
        <w:t>Ohbayashi</w:t>
      </w:r>
      <w:proofErr w:type="spellEnd"/>
      <w:r w:rsidRPr="006F4973">
        <w:rPr>
          <w:rFonts w:cstheme="minorHAnsi"/>
          <w:color w:val="002060"/>
          <w:lang w:val="en-US"/>
        </w:rPr>
        <w:t xml:space="preserve">, T., </w:t>
      </w:r>
      <w:proofErr w:type="spellStart"/>
      <w:r w:rsidRPr="006F4973">
        <w:rPr>
          <w:rFonts w:cstheme="minorHAnsi"/>
          <w:color w:val="002060"/>
          <w:lang w:val="en-US"/>
        </w:rPr>
        <w:t>Ishigami</w:t>
      </w:r>
      <w:proofErr w:type="spellEnd"/>
      <w:r w:rsidRPr="006F4973">
        <w:rPr>
          <w:rFonts w:cstheme="minorHAnsi"/>
          <w:color w:val="002060"/>
          <w:lang w:val="en-US"/>
        </w:rPr>
        <w:t>, K., Shigenobu, S., Itoh, H., and Kikuchi, Y. (2021). Dual oxidase enables insect gut symbiosis by mediating respirator</w:t>
      </w:r>
      <w:bookmarkStart w:id="0" w:name="_GoBack"/>
      <w:bookmarkEnd w:id="0"/>
      <w:r w:rsidRPr="006F4973">
        <w:rPr>
          <w:rFonts w:cstheme="minorHAnsi"/>
          <w:color w:val="002060"/>
          <w:lang w:val="en-US"/>
        </w:rPr>
        <w:t xml:space="preserve">y network formation. </w:t>
      </w:r>
      <w:r w:rsidRPr="006F4973">
        <w:rPr>
          <w:rFonts w:cstheme="minorHAnsi"/>
          <w:i/>
          <w:iCs/>
          <w:color w:val="002060"/>
        </w:rPr>
        <w:t xml:space="preserve">Proc. </w:t>
      </w:r>
      <w:proofErr w:type="spellStart"/>
      <w:r w:rsidRPr="006F4973">
        <w:rPr>
          <w:rFonts w:cstheme="minorHAnsi"/>
          <w:i/>
          <w:iCs/>
          <w:color w:val="002060"/>
        </w:rPr>
        <w:t>Natl</w:t>
      </w:r>
      <w:proofErr w:type="spellEnd"/>
      <w:r w:rsidRPr="006F4973">
        <w:rPr>
          <w:rFonts w:cstheme="minorHAnsi"/>
          <w:i/>
          <w:iCs/>
          <w:color w:val="002060"/>
        </w:rPr>
        <w:t xml:space="preserve">. Acad. </w:t>
      </w:r>
      <w:proofErr w:type="spellStart"/>
      <w:r w:rsidRPr="006F4973">
        <w:rPr>
          <w:rFonts w:cstheme="minorHAnsi"/>
          <w:i/>
          <w:iCs/>
          <w:color w:val="002060"/>
        </w:rPr>
        <w:t>Sci</w:t>
      </w:r>
      <w:proofErr w:type="spellEnd"/>
      <w:r w:rsidRPr="006F4973">
        <w:rPr>
          <w:rFonts w:cstheme="minorHAnsi"/>
          <w:i/>
          <w:iCs/>
          <w:color w:val="002060"/>
        </w:rPr>
        <w:t xml:space="preserve">. </w:t>
      </w:r>
      <w:r w:rsidRPr="006F4973">
        <w:rPr>
          <w:rFonts w:cstheme="minorHAnsi"/>
          <w:i/>
          <w:iCs/>
          <w:color w:val="002060"/>
          <w:lang w:val="fi-FI"/>
        </w:rPr>
        <w:t>USA</w:t>
      </w:r>
      <w:r w:rsidRPr="006F4973">
        <w:rPr>
          <w:rFonts w:cstheme="minorHAnsi"/>
          <w:iCs/>
          <w:color w:val="002060"/>
          <w:lang w:val="fi-FI"/>
        </w:rPr>
        <w:t xml:space="preserve"> </w:t>
      </w:r>
      <w:r w:rsidRPr="006F4973">
        <w:rPr>
          <w:rFonts w:cstheme="minorHAnsi"/>
          <w:color w:val="002060"/>
        </w:rPr>
        <w:t xml:space="preserve">118, e2020922118. </w:t>
      </w:r>
      <w:proofErr w:type="spellStart"/>
      <w:proofErr w:type="gramStart"/>
      <w:r w:rsidRPr="006F4973">
        <w:rPr>
          <w:rFonts w:cstheme="minorHAnsi"/>
          <w:color w:val="002060"/>
        </w:rPr>
        <w:t>doi</w:t>
      </w:r>
      <w:proofErr w:type="spellEnd"/>
      <w:proofErr w:type="gramEnd"/>
      <w:r w:rsidRPr="006F4973">
        <w:rPr>
          <w:rFonts w:cstheme="minorHAnsi"/>
          <w:color w:val="002060"/>
        </w:rPr>
        <w:t>: 10.1073/pnas.2020922118.</w:t>
      </w:r>
    </w:p>
    <w:p w14:paraId="54DA621C" w14:textId="245A829C" w:rsidR="001600FC" w:rsidRPr="006F4973" w:rsidRDefault="001600FC" w:rsidP="001600FC">
      <w:pPr>
        <w:rPr>
          <w:rFonts w:cstheme="minorHAnsi"/>
          <w:color w:val="002060"/>
          <w:lang w:val="en-US"/>
        </w:rPr>
      </w:pPr>
      <w:r w:rsidRPr="006F4973">
        <w:rPr>
          <w:rFonts w:cstheme="minorHAnsi"/>
          <w:color w:val="002060"/>
          <w:lang w:val="en-US"/>
        </w:rPr>
        <w:t xml:space="preserve">Van de </w:t>
      </w:r>
      <w:proofErr w:type="spellStart"/>
      <w:r w:rsidRPr="006F4973">
        <w:rPr>
          <w:rFonts w:cstheme="minorHAnsi"/>
          <w:color w:val="002060"/>
          <w:lang w:val="en-US"/>
        </w:rPr>
        <w:t>Velde</w:t>
      </w:r>
      <w:proofErr w:type="spellEnd"/>
      <w:r w:rsidRPr="006F4973">
        <w:rPr>
          <w:rFonts w:cstheme="minorHAnsi"/>
          <w:color w:val="002060"/>
          <w:lang w:val="en-US"/>
        </w:rPr>
        <w:t xml:space="preserve">, W., </w:t>
      </w:r>
      <w:proofErr w:type="spellStart"/>
      <w:r w:rsidRPr="006F4973">
        <w:rPr>
          <w:rFonts w:cstheme="minorHAnsi"/>
          <w:color w:val="002060"/>
          <w:lang w:val="en-US"/>
        </w:rPr>
        <w:t>Zehirov</w:t>
      </w:r>
      <w:proofErr w:type="spellEnd"/>
      <w:r w:rsidRPr="006F4973">
        <w:rPr>
          <w:rFonts w:cstheme="minorHAnsi"/>
          <w:color w:val="002060"/>
          <w:lang w:val="en-US"/>
        </w:rPr>
        <w:t xml:space="preserve">, G., </w:t>
      </w:r>
      <w:proofErr w:type="spellStart"/>
      <w:r w:rsidRPr="006F4973">
        <w:rPr>
          <w:rFonts w:cstheme="minorHAnsi"/>
          <w:color w:val="002060"/>
          <w:lang w:val="en-US"/>
        </w:rPr>
        <w:t>Szatmari</w:t>
      </w:r>
      <w:proofErr w:type="spellEnd"/>
      <w:r w:rsidRPr="006F4973">
        <w:rPr>
          <w:rFonts w:cstheme="minorHAnsi"/>
          <w:color w:val="002060"/>
          <w:lang w:val="en-US"/>
        </w:rPr>
        <w:t xml:space="preserve">, A., </w:t>
      </w:r>
      <w:proofErr w:type="spellStart"/>
      <w:r w:rsidRPr="006F4973">
        <w:rPr>
          <w:rFonts w:cstheme="minorHAnsi"/>
          <w:color w:val="002060"/>
          <w:lang w:val="en-US"/>
        </w:rPr>
        <w:t>Debreczeny</w:t>
      </w:r>
      <w:proofErr w:type="spellEnd"/>
      <w:r w:rsidRPr="006F4973">
        <w:rPr>
          <w:rFonts w:cstheme="minorHAnsi"/>
          <w:color w:val="002060"/>
          <w:lang w:val="en-US"/>
        </w:rPr>
        <w:t xml:space="preserve">, M., Ishihara, H., </w:t>
      </w:r>
      <w:proofErr w:type="spellStart"/>
      <w:r w:rsidRPr="006F4973">
        <w:rPr>
          <w:rFonts w:cstheme="minorHAnsi"/>
          <w:color w:val="002060"/>
          <w:lang w:val="en-US"/>
        </w:rPr>
        <w:t>Kevei</w:t>
      </w:r>
      <w:proofErr w:type="spellEnd"/>
      <w:r w:rsidRPr="006F4973">
        <w:rPr>
          <w:rFonts w:cstheme="minorHAnsi"/>
          <w:color w:val="002060"/>
          <w:lang w:val="en-US"/>
        </w:rPr>
        <w:t xml:space="preserve">, Z., </w:t>
      </w:r>
      <w:proofErr w:type="spellStart"/>
      <w:r w:rsidRPr="006F4973">
        <w:rPr>
          <w:rFonts w:cstheme="minorHAnsi"/>
          <w:color w:val="002060"/>
          <w:lang w:val="en-US"/>
        </w:rPr>
        <w:t>Farkas</w:t>
      </w:r>
      <w:proofErr w:type="spellEnd"/>
      <w:r w:rsidRPr="006F4973">
        <w:rPr>
          <w:rFonts w:cstheme="minorHAnsi"/>
          <w:color w:val="002060"/>
          <w:lang w:val="en-US"/>
        </w:rPr>
        <w:t xml:space="preserve">, A., </w:t>
      </w:r>
      <w:proofErr w:type="spellStart"/>
      <w:r w:rsidRPr="006F4973">
        <w:rPr>
          <w:rFonts w:cstheme="minorHAnsi"/>
          <w:color w:val="002060"/>
          <w:lang w:val="en-US"/>
        </w:rPr>
        <w:t>Mikulass</w:t>
      </w:r>
      <w:proofErr w:type="spellEnd"/>
      <w:r w:rsidRPr="006F4973">
        <w:rPr>
          <w:rFonts w:cstheme="minorHAnsi"/>
          <w:color w:val="002060"/>
          <w:lang w:val="en-US"/>
        </w:rPr>
        <w:t xml:space="preserve">, K., Nagy, A., </w:t>
      </w:r>
      <w:proofErr w:type="spellStart"/>
      <w:r w:rsidRPr="006F4973">
        <w:rPr>
          <w:rFonts w:cstheme="minorHAnsi"/>
          <w:color w:val="002060"/>
          <w:lang w:val="en-US"/>
        </w:rPr>
        <w:t>Tiricz</w:t>
      </w:r>
      <w:proofErr w:type="spellEnd"/>
      <w:r w:rsidRPr="006F4973">
        <w:rPr>
          <w:rFonts w:cstheme="minorHAnsi"/>
          <w:color w:val="002060"/>
          <w:lang w:val="en-US"/>
        </w:rPr>
        <w:t xml:space="preserve">, H., </w:t>
      </w:r>
      <w:proofErr w:type="spellStart"/>
      <w:r w:rsidRPr="006F4973">
        <w:rPr>
          <w:rFonts w:cstheme="minorHAnsi"/>
          <w:color w:val="002060"/>
          <w:lang w:val="en-US"/>
        </w:rPr>
        <w:t>Satiat-Jeunemaître</w:t>
      </w:r>
      <w:proofErr w:type="spellEnd"/>
      <w:r w:rsidRPr="006F4973">
        <w:rPr>
          <w:rFonts w:cstheme="minorHAnsi"/>
          <w:color w:val="002060"/>
          <w:lang w:val="en-US"/>
        </w:rPr>
        <w:t xml:space="preserve">, B., </w:t>
      </w:r>
      <w:proofErr w:type="spellStart"/>
      <w:r w:rsidRPr="006F4973">
        <w:rPr>
          <w:rFonts w:cstheme="minorHAnsi"/>
          <w:color w:val="002060"/>
          <w:lang w:val="en-US"/>
        </w:rPr>
        <w:t>Alunni</w:t>
      </w:r>
      <w:proofErr w:type="spellEnd"/>
      <w:r w:rsidRPr="006F4973">
        <w:rPr>
          <w:rFonts w:cstheme="minorHAnsi"/>
          <w:color w:val="002060"/>
          <w:lang w:val="en-US"/>
        </w:rPr>
        <w:t xml:space="preserve">, B., Bourge, M., </w:t>
      </w:r>
      <w:proofErr w:type="spellStart"/>
      <w:r w:rsidRPr="006F4973">
        <w:rPr>
          <w:rFonts w:cstheme="minorHAnsi"/>
          <w:color w:val="002060"/>
          <w:lang w:val="en-US"/>
        </w:rPr>
        <w:t>Kucho</w:t>
      </w:r>
      <w:proofErr w:type="spellEnd"/>
      <w:r w:rsidRPr="006F4973">
        <w:rPr>
          <w:rFonts w:cstheme="minorHAnsi"/>
          <w:color w:val="002060"/>
          <w:lang w:val="en-US"/>
        </w:rPr>
        <w:t xml:space="preserve">, K., Abe, M., </w:t>
      </w:r>
      <w:proofErr w:type="spellStart"/>
      <w:r w:rsidRPr="006F4973">
        <w:rPr>
          <w:rFonts w:cstheme="minorHAnsi"/>
          <w:color w:val="002060"/>
          <w:lang w:val="en-US"/>
        </w:rPr>
        <w:t>Kereszt</w:t>
      </w:r>
      <w:proofErr w:type="spellEnd"/>
      <w:r w:rsidRPr="006F4973">
        <w:rPr>
          <w:rFonts w:cstheme="minorHAnsi"/>
          <w:color w:val="002060"/>
          <w:lang w:val="en-US"/>
        </w:rPr>
        <w:t xml:space="preserve">, A., </w:t>
      </w:r>
      <w:proofErr w:type="spellStart"/>
      <w:r w:rsidRPr="006F4973">
        <w:rPr>
          <w:rFonts w:cstheme="minorHAnsi"/>
          <w:color w:val="002060"/>
          <w:lang w:val="en-US"/>
        </w:rPr>
        <w:t>Maorti</w:t>
      </w:r>
      <w:proofErr w:type="spellEnd"/>
      <w:r w:rsidRPr="006F4973">
        <w:rPr>
          <w:rFonts w:cstheme="minorHAnsi"/>
          <w:color w:val="002060"/>
          <w:lang w:val="en-US"/>
        </w:rPr>
        <w:t xml:space="preserve">, G., Uchiumi, T., </w:t>
      </w:r>
      <w:proofErr w:type="spellStart"/>
      <w:r w:rsidRPr="006F4973">
        <w:rPr>
          <w:rFonts w:cstheme="minorHAnsi"/>
          <w:color w:val="002060"/>
          <w:lang w:val="en-US"/>
        </w:rPr>
        <w:t>Kondorosi</w:t>
      </w:r>
      <w:proofErr w:type="spellEnd"/>
      <w:r w:rsidRPr="006F4973">
        <w:rPr>
          <w:rFonts w:cstheme="minorHAnsi"/>
          <w:color w:val="002060"/>
          <w:lang w:val="en-US"/>
        </w:rPr>
        <w:t xml:space="preserve">, E., and </w:t>
      </w:r>
      <w:proofErr w:type="spellStart"/>
      <w:r w:rsidRPr="006F4973">
        <w:rPr>
          <w:rFonts w:cstheme="minorHAnsi"/>
          <w:color w:val="002060"/>
          <w:lang w:val="en-US"/>
        </w:rPr>
        <w:t>Mergaert</w:t>
      </w:r>
      <w:proofErr w:type="spellEnd"/>
      <w:r w:rsidRPr="006F4973">
        <w:rPr>
          <w:rFonts w:cstheme="minorHAnsi"/>
          <w:color w:val="002060"/>
          <w:lang w:val="en-US"/>
        </w:rPr>
        <w:t>, P. (2010). Nodule specific peptides govern terminal differentiation of bacteria in symbiosis. Science 327, 1122-1126.</w:t>
      </w:r>
    </w:p>
    <w:p w14:paraId="3D92401D" w14:textId="77777777" w:rsidR="001600FC" w:rsidRPr="001600FC" w:rsidRDefault="001600FC" w:rsidP="00E47B5B">
      <w:pPr>
        <w:pBdr>
          <w:bottom w:val="single" w:sz="4" w:space="1" w:color="auto"/>
        </w:pBdr>
        <w:spacing w:after="0" w:line="240" w:lineRule="auto"/>
        <w:rPr>
          <w:b/>
          <w:smallCaps/>
          <w:color w:val="002060"/>
          <w:lang w:val="en-US"/>
        </w:rPr>
      </w:pPr>
    </w:p>
    <w:p w14:paraId="2CC0DE4E" w14:textId="77777777" w:rsidR="00E47B5B" w:rsidRPr="00E47B5B" w:rsidRDefault="00E47B5B" w:rsidP="00E47B5B">
      <w:pPr>
        <w:shd w:val="clear" w:color="auto" w:fill="DEEAF6" w:themeFill="accent1" w:themeFillTint="33"/>
        <w:spacing w:after="0" w:line="240" w:lineRule="auto"/>
        <w:jc w:val="center"/>
        <w:rPr>
          <w:b/>
          <w:smallCaps/>
          <w:color w:val="002060"/>
          <w:lang w:val="en-US"/>
        </w:rPr>
      </w:pPr>
      <w:r w:rsidRPr="00E47B5B">
        <w:rPr>
          <w:b/>
          <w:smallCaps/>
          <w:color w:val="002060"/>
          <w:lang w:val="en-US"/>
        </w:rPr>
        <w:t>Perspectives</w:t>
      </w:r>
    </w:p>
    <w:p w14:paraId="6EF3BD37" w14:textId="6598FEE7" w:rsidR="0054649A" w:rsidRPr="001600FC" w:rsidRDefault="00EF3046" w:rsidP="001600FC">
      <w:pPr>
        <w:spacing w:after="0" w:line="240" w:lineRule="auto"/>
        <w:rPr>
          <w:color w:val="002060"/>
          <w:lang w:val="en-US"/>
        </w:rPr>
      </w:pPr>
      <w:r w:rsidRPr="001600FC">
        <w:rPr>
          <w:color w:val="002060"/>
          <w:lang w:val="en-US"/>
        </w:rPr>
        <w:t>The M2</w:t>
      </w:r>
      <w:r w:rsidR="00E47B5B" w:rsidRPr="001600FC">
        <w:rPr>
          <w:color w:val="002060"/>
          <w:lang w:val="en-US"/>
        </w:rPr>
        <w:t xml:space="preserve"> internship </w:t>
      </w:r>
      <w:proofErr w:type="gramStart"/>
      <w:r w:rsidRPr="001600FC">
        <w:rPr>
          <w:color w:val="002060"/>
          <w:lang w:val="en-US"/>
        </w:rPr>
        <w:t xml:space="preserve">can </w:t>
      </w:r>
      <w:r w:rsidR="00E47B5B" w:rsidRPr="001600FC">
        <w:rPr>
          <w:color w:val="002060"/>
          <w:lang w:val="en-US"/>
        </w:rPr>
        <w:t>be followed</w:t>
      </w:r>
      <w:proofErr w:type="gramEnd"/>
      <w:r w:rsidR="00E47B5B" w:rsidRPr="001600FC">
        <w:rPr>
          <w:color w:val="002060"/>
          <w:lang w:val="en-US"/>
        </w:rPr>
        <w:t xml:space="preserve"> by a</w:t>
      </w:r>
      <w:r w:rsidRPr="001600FC">
        <w:rPr>
          <w:color w:val="002060"/>
          <w:lang w:val="en-US"/>
        </w:rPr>
        <w:t xml:space="preserve"> PhD</w:t>
      </w:r>
      <w:r w:rsidR="00E47B5B" w:rsidRPr="001600FC">
        <w:rPr>
          <w:color w:val="002060"/>
          <w:lang w:val="en-US"/>
        </w:rPr>
        <w:t xml:space="preserve"> thesis</w:t>
      </w:r>
    </w:p>
    <w:p w14:paraId="17AECA1D" w14:textId="0F25B718" w:rsidR="00FA64B5" w:rsidRPr="001600FC" w:rsidRDefault="00E47B5B" w:rsidP="001600FC">
      <w:pPr>
        <w:spacing w:after="0" w:line="240" w:lineRule="auto"/>
        <w:rPr>
          <w:color w:val="002060"/>
        </w:rPr>
      </w:pPr>
      <w:r w:rsidRPr="001600FC">
        <w:rPr>
          <w:color w:val="002060"/>
        </w:rPr>
        <w:t xml:space="preserve">Doctoral </w:t>
      </w:r>
      <w:proofErr w:type="spellStart"/>
      <w:r w:rsidRPr="001600FC">
        <w:rPr>
          <w:color w:val="002060"/>
        </w:rPr>
        <w:t>School</w:t>
      </w:r>
      <w:proofErr w:type="spellEnd"/>
      <w:r w:rsidRPr="001600FC">
        <w:rPr>
          <w:color w:val="002060"/>
        </w:rPr>
        <w:t xml:space="preserve"> of </w:t>
      </w:r>
      <w:proofErr w:type="spellStart"/>
      <w:r w:rsidRPr="001600FC">
        <w:rPr>
          <w:color w:val="002060"/>
        </w:rPr>
        <w:t>reattachment</w:t>
      </w:r>
      <w:proofErr w:type="spellEnd"/>
      <w:r w:rsidR="0054649A" w:rsidRPr="001600FC">
        <w:rPr>
          <w:color w:val="002060"/>
        </w:rPr>
        <w:t xml:space="preserve">: </w:t>
      </w:r>
      <w:r w:rsidR="00EF3046" w:rsidRPr="001600FC">
        <w:rPr>
          <w:color w:val="002060"/>
        </w:rPr>
        <w:t>ED 567</w:t>
      </w:r>
      <w:r w:rsidR="00EF3046" w:rsidRPr="001600FC">
        <w:rPr>
          <w:color w:val="002060"/>
        </w:rPr>
        <w:t xml:space="preserve">, </w:t>
      </w:r>
      <w:r w:rsidR="00EF3046" w:rsidRPr="001600FC">
        <w:rPr>
          <w:color w:val="002060"/>
        </w:rPr>
        <w:t xml:space="preserve">Sciences du végétal : du gène à l'écosystème (SEVE) </w:t>
      </w:r>
    </w:p>
    <w:sectPr w:rsidR="00FA64B5" w:rsidRPr="001600FC" w:rsidSect="008832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6E64"/>
    <w:multiLevelType w:val="hybridMultilevel"/>
    <w:tmpl w:val="3E84D2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DF30014"/>
    <w:multiLevelType w:val="hybridMultilevel"/>
    <w:tmpl w:val="1AA6B876"/>
    <w:lvl w:ilvl="0" w:tplc="95F0AE6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4F"/>
    <w:rsid w:val="00027FC6"/>
    <w:rsid w:val="000A5A26"/>
    <w:rsid w:val="00103278"/>
    <w:rsid w:val="001573E2"/>
    <w:rsid w:val="001600FC"/>
    <w:rsid w:val="0023280C"/>
    <w:rsid w:val="002C4D48"/>
    <w:rsid w:val="00303836"/>
    <w:rsid w:val="003A5F2F"/>
    <w:rsid w:val="00443176"/>
    <w:rsid w:val="004B5FA7"/>
    <w:rsid w:val="004E260E"/>
    <w:rsid w:val="004F4DE6"/>
    <w:rsid w:val="00525FBA"/>
    <w:rsid w:val="00526A4F"/>
    <w:rsid w:val="0054649A"/>
    <w:rsid w:val="0058086D"/>
    <w:rsid w:val="005F6506"/>
    <w:rsid w:val="006035BE"/>
    <w:rsid w:val="00625A75"/>
    <w:rsid w:val="00691CA6"/>
    <w:rsid w:val="006F4973"/>
    <w:rsid w:val="007028FC"/>
    <w:rsid w:val="007457F1"/>
    <w:rsid w:val="007C7293"/>
    <w:rsid w:val="00882E50"/>
    <w:rsid w:val="00883277"/>
    <w:rsid w:val="00883BC4"/>
    <w:rsid w:val="008A496D"/>
    <w:rsid w:val="008B60C8"/>
    <w:rsid w:val="009362D6"/>
    <w:rsid w:val="00963492"/>
    <w:rsid w:val="00980614"/>
    <w:rsid w:val="009E280A"/>
    <w:rsid w:val="00A82467"/>
    <w:rsid w:val="00AA4B91"/>
    <w:rsid w:val="00AC37E6"/>
    <w:rsid w:val="00B20201"/>
    <w:rsid w:val="00B36E38"/>
    <w:rsid w:val="00BB02B1"/>
    <w:rsid w:val="00D44805"/>
    <w:rsid w:val="00D85739"/>
    <w:rsid w:val="00DC19E0"/>
    <w:rsid w:val="00E47B5B"/>
    <w:rsid w:val="00E66A7A"/>
    <w:rsid w:val="00E75E41"/>
    <w:rsid w:val="00E87DC1"/>
    <w:rsid w:val="00EF3046"/>
    <w:rsid w:val="00F27E64"/>
    <w:rsid w:val="00F76526"/>
    <w:rsid w:val="00FA64B5"/>
    <w:rsid w:val="00FC61F5"/>
    <w:rsid w:val="00FE7B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380D87"/>
  <w15:docId w15:val="{8F2E0518-FA68-4467-99B4-18BF02FE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7FC6"/>
    <w:rPr>
      <w:color w:val="0563C1" w:themeColor="hyperlink"/>
      <w:u w:val="single"/>
    </w:rPr>
  </w:style>
  <w:style w:type="paragraph" w:styleId="Paragraphedeliste">
    <w:name w:val="List Paragraph"/>
    <w:basedOn w:val="Normal"/>
    <w:uiPriority w:val="34"/>
    <w:qFormat/>
    <w:rsid w:val="0054649A"/>
    <w:pPr>
      <w:ind w:left="720"/>
      <w:contextualSpacing/>
    </w:pPr>
  </w:style>
  <w:style w:type="paragraph" w:styleId="Textedebulles">
    <w:name w:val="Balloon Text"/>
    <w:basedOn w:val="Normal"/>
    <w:link w:val="TextedebullesCar"/>
    <w:uiPriority w:val="99"/>
    <w:semiHidden/>
    <w:unhideWhenUsed/>
    <w:rsid w:val="007028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28FC"/>
    <w:rPr>
      <w:rFonts w:ascii="Tahoma" w:hAnsi="Tahoma" w:cs="Tahoma"/>
      <w:sz w:val="16"/>
      <w:szCs w:val="16"/>
    </w:rPr>
  </w:style>
  <w:style w:type="character" w:customStyle="1" w:styleId="object">
    <w:name w:val="object"/>
    <w:basedOn w:val="Policepardfaut"/>
    <w:rsid w:val="00FE7BE2"/>
  </w:style>
  <w:style w:type="character" w:styleId="Lienhypertextesuivivisit">
    <w:name w:val="FollowedHyperlink"/>
    <w:basedOn w:val="Policepardfaut"/>
    <w:uiPriority w:val="99"/>
    <w:semiHidden/>
    <w:unhideWhenUsed/>
    <w:rsid w:val="00FE7B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270541">
      <w:bodyDiv w:val="1"/>
      <w:marLeft w:val="0"/>
      <w:marRight w:val="0"/>
      <w:marTop w:val="0"/>
      <w:marBottom w:val="0"/>
      <w:divBdr>
        <w:top w:val="none" w:sz="0" w:space="0" w:color="auto"/>
        <w:left w:val="none" w:sz="0" w:space="0" w:color="auto"/>
        <w:bottom w:val="none" w:sz="0" w:space="0" w:color="auto"/>
        <w:right w:val="none" w:sz="0" w:space="0" w:color="auto"/>
      </w:divBdr>
      <w:divsChild>
        <w:div w:id="2031880808">
          <w:marLeft w:val="0"/>
          <w:marRight w:val="0"/>
          <w:marTop w:val="0"/>
          <w:marBottom w:val="0"/>
          <w:divBdr>
            <w:top w:val="none" w:sz="0" w:space="0" w:color="auto"/>
            <w:left w:val="none" w:sz="0" w:space="0" w:color="auto"/>
            <w:bottom w:val="none" w:sz="0" w:space="0" w:color="auto"/>
            <w:right w:val="none" w:sz="0" w:space="0" w:color="auto"/>
          </w:divBdr>
          <w:divsChild>
            <w:div w:id="1323510413">
              <w:marLeft w:val="0"/>
              <w:marRight w:val="0"/>
              <w:marTop w:val="0"/>
              <w:marBottom w:val="0"/>
              <w:divBdr>
                <w:top w:val="none" w:sz="0" w:space="0" w:color="auto"/>
                <w:left w:val="none" w:sz="0" w:space="0" w:color="auto"/>
                <w:bottom w:val="none" w:sz="0" w:space="0" w:color="auto"/>
                <w:right w:val="none" w:sz="0" w:space="0" w:color="auto"/>
              </w:divBdr>
            </w:div>
          </w:divsChild>
        </w:div>
        <w:div w:id="26654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46/annurev-genet-112618-04383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1071</Words>
  <Characters>5895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Bury-Moné</dc:creator>
  <cp:keywords/>
  <dc:description/>
  <cp:lastModifiedBy>Peter MERGAERT</cp:lastModifiedBy>
  <cp:revision>3</cp:revision>
  <dcterms:created xsi:type="dcterms:W3CDTF">2023-06-25T17:10:00Z</dcterms:created>
  <dcterms:modified xsi:type="dcterms:W3CDTF">2023-06-25T17:19:00Z</dcterms:modified>
</cp:coreProperties>
</file>